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95" w:rsidRDefault="00372110">
      <w:pPr>
        <w:widowControl/>
        <w:adjustRightInd w:val="0"/>
        <w:snapToGrid w:val="0"/>
        <w:jc w:val="center"/>
        <w:rPr>
          <w:rFonts w:ascii="宋体" w:eastAsia="宋体" w:hAnsi="宋体" w:cs="宋体"/>
          <w:b/>
          <w:bCs/>
          <w:kern w:val="0"/>
          <w:sz w:val="44"/>
          <w:szCs w:val="44"/>
        </w:rPr>
      </w:pPr>
      <w:r>
        <w:rPr>
          <w:rFonts w:ascii="宋体" w:eastAsia="宋体" w:hAnsi="宋体" w:cs="宋体" w:hint="eastAsia"/>
          <w:b/>
          <w:bCs/>
          <w:kern w:val="0"/>
          <w:sz w:val="44"/>
          <w:szCs w:val="44"/>
        </w:rPr>
        <w:t>江苏联合职业技术学院</w:t>
      </w:r>
    </w:p>
    <w:p w:rsidR="00EB3295" w:rsidRDefault="00372110">
      <w:pPr>
        <w:widowControl/>
        <w:adjustRightInd w:val="0"/>
        <w:snapToGrid w:val="0"/>
        <w:jc w:val="center"/>
        <w:rPr>
          <w:rFonts w:ascii="宋体" w:eastAsia="宋体" w:hAnsi="宋体" w:cs="宋体"/>
          <w:b/>
          <w:bCs/>
          <w:kern w:val="0"/>
          <w:sz w:val="44"/>
          <w:szCs w:val="44"/>
        </w:rPr>
      </w:pPr>
      <w:r>
        <w:rPr>
          <w:rFonts w:ascii="宋体" w:eastAsia="宋体" w:hAnsi="宋体" w:cs="宋体" w:hint="eastAsia"/>
          <w:b/>
          <w:bCs/>
          <w:kern w:val="0"/>
          <w:sz w:val="44"/>
          <w:szCs w:val="44"/>
        </w:rPr>
        <w:t>学生学籍管理规定（试行）</w:t>
      </w:r>
    </w:p>
    <w:p w:rsidR="00EB3295" w:rsidRDefault="00EB3295">
      <w:pPr>
        <w:widowControl/>
        <w:adjustRightInd w:val="0"/>
        <w:snapToGrid w:val="0"/>
        <w:spacing w:beforeLines="100" w:before="312" w:afterLines="100" w:after="312"/>
        <w:jc w:val="center"/>
        <w:rPr>
          <w:rFonts w:ascii="黑体" w:eastAsia="黑体" w:hAnsi="黑体" w:cs="黑体"/>
          <w:kern w:val="0"/>
          <w:sz w:val="32"/>
          <w:szCs w:val="32"/>
        </w:rPr>
      </w:pP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第一章 总则</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第一条 为加强我院五年制高等职业教育学生（以下简称学生）学籍管理，明确学院与办学单位学生学籍管理职能，维护正常的教育教学秩序，保障学生合法权益，确保人才培养质量，根据教育部《普通高等学校学生管理规定》和江苏省教育厅《五年制高等职业教育学生学籍管理暂行规定》，结合学院实际，制定本规定。</w:t>
      </w:r>
    </w:p>
    <w:p w:rsidR="00EB3295" w:rsidRDefault="00372110">
      <w:pPr>
        <w:pStyle w:val="a9"/>
        <w:widowControl/>
        <w:adjustRightInd w:val="0"/>
        <w:snapToGrid w:val="0"/>
        <w:ind w:firstLine="640"/>
        <w:rPr>
          <w:rFonts w:ascii="宋体" w:eastAsia="宋体" w:hAnsi="宋体" w:cs="宋体"/>
          <w:kern w:val="0"/>
          <w:sz w:val="32"/>
          <w:szCs w:val="32"/>
        </w:rPr>
      </w:pPr>
      <w:r>
        <w:rPr>
          <w:rFonts w:ascii="仿宋" w:eastAsia="仿宋" w:hAnsi="仿宋" w:cs="宋体" w:hint="eastAsia"/>
          <w:kern w:val="0"/>
          <w:sz w:val="32"/>
          <w:szCs w:val="32"/>
        </w:rPr>
        <w:t>第二条 学院实行学生学籍管理工作分级管理制度。学院负责全院学生学籍统筹管理和业务指导工作，办学单位按照学院规定做好本校学生学籍管理日常工作。</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第二章 入学与注册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第三条 按国家和省招生规定录取的新生，持学院颁发的录取通知书，按有关要求和规定的期限到被录取的办学单位办理入学手续。因故不能按期入学的，应事先提出书面申请，并</w:t>
      </w:r>
      <w:proofErr w:type="gramStart"/>
      <w:r>
        <w:rPr>
          <w:rFonts w:ascii="仿宋" w:eastAsia="仿宋" w:hAnsi="仿宋" w:cs="宋体" w:hint="eastAsia"/>
          <w:kern w:val="0"/>
          <w:sz w:val="32"/>
          <w:szCs w:val="32"/>
        </w:rPr>
        <w:t>附有效</w:t>
      </w:r>
      <w:proofErr w:type="gramEnd"/>
      <w:r>
        <w:rPr>
          <w:rFonts w:ascii="仿宋" w:eastAsia="仿宋" w:hAnsi="仿宋" w:cs="宋体" w:hint="eastAsia"/>
          <w:kern w:val="0"/>
          <w:sz w:val="32"/>
          <w:szCs w:val="32"/>
        </w:rPr>
        <w:t>证明，向被录取的办学单位请假，假期不得超过两周。未请假或者请假逾期的，除因不可抗力等正当事由以外，视为放弃入学资格。</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第四条 办学单位应当在报到时对</w:t>
      </w:r>
      <w:r w:rsidR="004D7F05">
        <w:rPr>
          <w:rFonts w:ascii="仿宋" w:eastAsia="仿宋" w:hAnsi="仿宋" w:cs="宋体" w:hint="eastAsia"/>
          <w:kern w:val="0"/>
          <w:sz w:val="32"/>
          <w:szCs w:val="32"/>
        </w:rPr>
        <w:t>新生</w:t>
      </w:r>
      <w:r>
        <w:rPr>
          <w:rFonts w:ascii="仿宋" w:eastAsia="仿宋" w:hAnsi="仿宋" w:cs="宋体" w:hint="eastAsia"/>
          <w:kern w:val="0"/>
          <w:sz w:val="32"/>
          <w:szCs w:val="32"/>
        </w:rPr>
        <w:t>入学资格进行严格审查，审查合格的办理入学手续；审查发现新生的录取通知、考生信息等证明材料，与本人实际情况不符，或者有其他违反国家和省招生考试规定情形的，取消入学资格。</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第五条 新生可以申请保留入学资格。申请时需说明事由，并提交相关证明材料，由办学单位审核，报学院备案，期限最长一年。保留入学资格期间不具有学籍，不享受在校生待遇。</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lastRenderedPageBreak/>
        <w:t>新生保留入学资格期满前应向办学单位申请入学，经审查合格后，办理入学手续。审查不合格的，取消入学资格；逾期不办理入学手续且未有因不可抗力延迟等正当理由的，视为放弃入学资格。</w:t>
      </w:r>
    </w:p>
    <w:p w:rsidR="00EB3295" w:rsidRDefault="00372110">
      <w:pPr>
        <w:pStyle w:val="a9"/>
        <w:widowControl/>
        <w:adjustRightInd w:val="0"/>
        <w:snapToGrid w:val="0"/>
        <w:ind w:firstLine="640"/>
        <w:rPr>
          <w:rFonts w:ascii="宋体" w:eastAsia="仿宋" w:hAnsi="宋体" w:cs="宋体"/>
          <w:kern w:val="0"/>
          <w:sz w:val="24"/>
          <w:szCs w:val="24"/>
        </w:rPr>
      </w:pPr>
      <w:r>
        <w:rPr>
          <w:rFonts w:ascii="仿宋" w:eastAsia="仿宋" w:hAnsi="仿宋" w:cs="宋体" w:hint="eastAsia"/>
          <w:kern w:val="0"/>
          <w:sz w:val="32"/>
          <w:szCs w:val="32"/>
        </w:rPr>
        <w:t>第六条 新生入学后，办学单位按学院规定编制学号，在学院学生管理信息系统录入学籍信息。学院对录入的学籍信息进行复核，复核合格的给予注册，纳入学院学籍管理。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第七条 学生入学后，办学单位应当在3个月内按照国家和省招生规定进行复查。复查内容主要包括以下方面：</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1.录取手续及程序等是否符合国家和省招生规定；</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2.所获得的录取资格是否真实、合乎相关规定；</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3.本人及身份证明与录取通知、考生档案等是否一致；</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4.身心健康状况是否符合报考专业或者专业类别体检要求，能否保证在校正常学习、生活；</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5.艺术、体育等特殊类型录取学生的专业水平是否符合录取要求。</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复查中发现学生存在弄虚作假、徇私舞弊等情形的，确定为复查不合格，应当取消学籍；情节严重的，办学单位应当移交有关部门调查处理。办学单位</w:t>
      </w:r>
      <w:r w:rsidR="0073217E">
        <w:rPr>
          <w:rFonts w:ascii="仿宋" w:eastAsia="仿宋" w:hAnsi="仿宋" w:cs="宋体" w:hint="eastAsia"/>
          <w:kern w:val="0"/>
          <w:sz w:val="32"/>
          <w:szCs w:val="32"/>
        </w:rPr>
        <w:t>应</w:t>
      </w:r>
      <w:r w:rsidR="003D79F6">
        <w:rPr>
          <w:rFonts w:ascii="仿宋" w:eastAsia="仿宋" w:hAnsi="仿宋" w:cs="宋体" w:hint="eastAsia"/>
          <w:kern w:val="0"/>
          <w:sz w:val="32"/>
          <w:szCs w:val="32"/>
        </w:rPr>
        <w:t>当</w:t>
      </w:r>
      <w:r>
        <w:rPr>
          <w:rFonts w:ascii="仿宋" w:eastAsia="仿宋" w:hAnsi="仿宋" w:cs="宋体" w:hint="eastAsia"/>
          <w:kern w:val="0"/>
          <w:sz w:val="32"/>
          <w:szCs w:val="32"/>
        </w:rPr>
        <w:t>将处理结果及时报学院备案。</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复查中发现学生身心状况不适宜在校学习，经办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指定的二级甲等以上医院诊断，需要在家休养的，可以按照第五条的规定保留入学资格。</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复查的程序和办法，由办学单位规定。</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第八条 每学期开学时，学生应当按办学单位规定办理注册手续。不能如期注册的，应当履行暂缓注册手续。未按办学单位规定缴纳学费或者有其他不符合注册条件的，不予注册。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家庭经济困难的学生可以申请助学贷款或者其他形式资助，办理有关手续后注册。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办学单位应当按照国家有关规定为家庭经济困难学生提供教育救助，完善学生资助体系，保证学生不因家庭经济困难而放弃学业。</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lastRenderedPageBreak/>
        <w:t>第九条 学生升入四年级时，办学单位应当为符合条件的学生申请高等教育学籍注册，并</w:t>
      </w:r>
      <w:r>
        <w:rPr>
          <w:rFonts w:ascii="仿宋" w:eastAsia="仿宋" w:hAnsi="仿宋" w:hint="eastAsia"/>
          <w:sz w:val="32"/>
          <w:szCs w:val="32"/>
        </w:rPr>
        <w:t>在规定时间内提交学生信息，学院审核无误后，</w:t>
      </w:r>
      <w:r>
        <w:rPr>
          <w:rFonts w:ascii="仿宋" w:eastAsia="仿宋" w:hAnsi="仿宋" w:cs="宋体" w:hint="eastAsia"/>
          <w:kern w:val="0"/>
          <w:sz w:val="32"/>
          <w:szCs w:val="32"/>
        </w:rPr>
        <w:t>在教育部学籍学历信息管理平台（以下简称学信平台）进行学籍电子注册。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办学单位应组织、指导、督促取得高等教育学籍的学生</w:t>
      </w:r>
      <w:proofErr w:type="gramStart"/>
      <w:r>
        <w:rPr>
          <w:rFonts w:ascii="仿宋" w:eastAsia="仿宋" w:hAnsi="仿宋" w:cs="宋体" w:hint="eastAsia"/>
          <w:kern w:val="0"/>
          <w:sz w:val="32"/>
          <w:szCs w:val="32"/>
        </w:rPr>
        <w:t>登录学</w:t>
      </w:r>
      <w:proofErr w:type="gramEnd"/>
      <w:r>
        <w:rPr>
          <w:rFonts w:ascii="仿宋" w:eastAsia="仿宋" w:hAnsi="仿宋" w:cs="宋体" w:hint="eastAsia"/>
          <w:kern w:val="0"/>
          <w:sz w:val="32"/>
          <w:szCs w:val="32"/>
        </w:rPr>
        <w:t>信平台，确认个人信息，并</w:t>
      </w:r>
      <w:r>
        <w:rPr>
          <w:rFonts w:ascii="仿宋" w:eastAsia="仿宋" w:hAnsi="仿宋" w:hint="eastAsia"/>
          <w:sz w:val="32"/>
          <w:szCs w:val="32"/>
        </w:rPr>
        <w:t>在规定时间内</w:t>
      </w:r>
      <w:r>
        <w:rPr>
          <w:rFonts w:ascii="仿宋" w:eastAsia="仿宋" w:hAnsi="仿宋" w:cs="宋体" w:hint="eastAsia"/>
          <w:kern w:val="0"/>
          <w:sz w:val="32"/>
          <w:szCs w:val="32"/>
        </w:rPr>
        <w:t>完成学籍在线验证报告，确保信息的准确性。</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第三章 考核与成绩记载</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第十条 学院对学生学业实行学分制管理。办学单位</w:t>
      </w:r>
      <w:r w:rsidR="0073217E">
        <w:rPr>
          <w:rFonts w:ascii="仿宋" w:eastAsia="仿宋" w:hAnsi="仿宋" w:cs="宋体" w:hint="eastAsia"/>
          <w:kern w:val="0"/>
          <w:sz w:val="32"/>
          <w:szCs w:val="32"/>
        </w:rPr>
        <w:t>应当</w:t>
      </w:r>
      <w:r>
        <w:rPr>
          <w:rFonts w:ascii="仿宋" w:eastAsia="仿宋" w:hAnsi="仿宋" w:cs="宋体" w:hint="eastAsia"/>
          <w:kern w:val="0"/>
          <w:sz w:val="32"/>
          <w:szCs w:val="32"/>
        </w:rPr>
        <w:t>对跨校修读的</w:t>
      </w:r>
      <w:r w:rsidR="0073217E">
        <w:rPr>
          <w:rFonts w:ascii="仿宋" w:eastAsia="仿宋" w:hAnsi="仿宋" w:cs="宋体" w:hint="eastAsia"/>
          <w:kern w:val="0"/>
          <w:sz w:val="32"/>
          <w:szCs w:val="32"/>
        </w:rPr>
        <w:t>给予</w:t>
      </w:r>
      <w:r>
        <w:rPr>
          <w:rFonts w:ascii="仿宋" w:eastAsia="仿宋" w:hAnsi="仿宋" w:cs="宋体" w:hint="eastAsia"/>
          <w:kern w:val="0"/>
          <w:sz w:val="32"/>
          <w:szCs w:val="32"/>
        </w:rPr>
        <w:t>学分互认。</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第十一条 学生应当参加所学专业实施性人才培养方案规定课程的学习，学业考核分为考试和考查两种。成绩评定方式，以及考核不合格的课程是否重修或者补考，由办学单位规定。学院也可根据需要，组织统考或校际联考。</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第十二条 学生成绩的评定可采取百分制记分，也可采取五级制（优秀、良好、中等、及格、不及格）记分，按学期进行记载。百分制与五级</w:t>
      </w:r>
      <w:proofErr w:type="gramStart"/>
      <w:r>
        <w:rPr>
          <w:rFonts w:ascii="仿宋" w:eastAsia="仿宋" w:hAnsi="仿宋" w:cs="宋体" w:hint="eastAsia"/>
          <w:kern w:val="0"/>
          <w:sz w:val="32"/>
          <w:szCs w:val="32"/>
        </w:rPr>
        <w:t>制成绩</w:t>
      </w:r>
      <w:proofErr w:type="gramEnd"/>
      <w:r>
        <w:rPr>
          <w:rFonts w:ascii="仿宋" w:eastAsia="仿宋" w:hAnsi="仿宋" w:cs="宋体" w:hint="eastAsia"/>
          <w:kern w:val="0"/>
          <w:sz w:val="32"/>
          <w:szCs w:val="32"/>
        </w:rPr>
        <w:t>换算标准：90～100分为优秀，80～89分为良好，70～79分为中等，60～69分为及格，60分以下为不及格。</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可以采用学生所取得的累计学分和</w:t>
      </w:r>
      <w:proofErr w:type="gramStart"/>
      <w:r>
        <w:rPr>
          <w:rFonts w:ascii="仿宋" w:eastAsia="仿宋" w:hAnsi="仿宋" w:cs="宋体" w:hint="eastAsia"/>
          <w:kern w:val="0"/>
          <w:sz w:val="32"/>
          <w:szCs w:val="32"/>
        </w:rPr>
        <w:t>学分绩点来</w:t>
      </w:r>
      <w:proofErr w:type="gramEnd"/>
      <w:r>
        <w:rPr>
          <w:rFonts w:ascii="仿宋" w:eastAsia="仿宋" w:hAnsi="仿宋" w:cs="宋体" w:hint="eastAsia"/>
          <w:kern w:val="0"/>
          <w:sz w:val="32"/>
          <w:szCs w:val="32"/>
        </w:rPr>
        <w:t>综合衡量学生的学习情况。课程成绩与</w:t>
      </w:r>
      <w:proofErr w:type="gramStart"/>
      <w:r>
        <w:rPr>
          <w:rFonts w:ascii="仿宋" w:eastAsia="仿宋" w:hAnsi="仿宋" w:cs="宋体" w:hint="eastAsia"/>
          <w:kern w:val="0"/>
          <w:sz w:val="32"/>
          <w:szCs w:val="32"/>
        </w:rPr>
        <w:t>学分绩点的</w:t>
      </w:r>
      <w:proofErr w:type="gramEnd"/>
      <w:r>
        <w:rPr>
          <w:rFonts w:ascii="仿宋" w:eastAsia="仿宋" w:hAnsi="仿宋" w:cs="宋体" w:hint="eastAsia"/>
          <w:kern w:val="0"/>
          <w:sz w:val="32"/>
          <w:szCs w:val="32"/>
        </w:rPr>
        <w:t>对应关系为：</w:t>
      </w:r>
    </w:p>
    <w:tbl>
      <w:tblPr>
        <w:tblW w:w="8397" w:type="dxa"/>
        <w:jc w:val="center"/>
        <w:tblLayout w:type="fixed"/>
        <w:tblLook w:val="04A0" w:firstRow="1" w:lastRow="0" w:firstColumn="1" w:lastColumn="0" w:noHBand="0" w:noVBand="1"/>
      </w:tblPr>
      <w:tblGrid>
        <w:gridCol w:w="1483"/>
        <w:gridCol w:w="1569"/>
        <w:gridCol w:w="1275"/>
        <w:gridCol w:w="1440"/>
        <w:gridCol w:w="1320"/>
        <w:gridCol w:w="1310"/>
      </w:tblGrid>
      <w:tr w:rsidR="00EB3295">
        <w:trPr>
          <w:trHeight w:val="426"/>
          <w:jc w:val="center"/>
        </w:trPr>
        <w:tc>
          <w:tcPr>
            <w:tcW w:w="1483" w:type="dxa"/>
            <w:tcBorders>
              <w:top w:val="single" w:sz="8" w:space="0" w:color="000000"/>
              <w:left w:val="single" w:sz="8" w:space="0" w:color="000000"/>
              <w:bottom w:val="single" w:sz="8" w:space="0" w:color="000000"/>
              <w:right w:val="single" w:sz="8" w:space="0" w:color="000000"/>
            </w:tcBorders>
            <w:vAlign w:val="center"/>
          </w:tcPr>
          <w:p w:rsidR="00EB3295" w:rsidRDefault="00372110">
            <w:pPr>
              <w:widowControl/>
              <w:adjustRightInd w:val="0"/>
              <w:snapToGrid w:val="0"/>
              <w:spacing w:line="240" w:lineRule="atLeast"/>
              <w:rPr>
                <w:rFonts w:ascii="仿宋" w:eastAsia="仿宋" w:hAnsi="仿宋" w:cs="仿宋"/>
                <w:kern w:val="0"/>
                <w:sz w:val="32"/>
                <w:szCs w:val="32"/>
              </w:rPr>
            </w:pPr>
            <w:r>
              <w:rPr>
                <w:rFonts w:ascii="仿宋" w:eastAsia="仿宋" w:hAnsi="仿宋" w:cs="仿宋" w:hint="eastAsia"/>
                <w:kern w:val="0"/>
                <w:sz w:val="32"/>
                <w:szCs w:val="32"/>
              </w:rPr>
              <w:t>百分制</w:t>
            </w:r>
          </w:p>
        </w:tc>
        <w:tc>
          <w:tcPr>
            <w:tcW w:w="1569" w:type="dxa"/>
            <w:tcBorders>
              <w:top w:val="single" w:sz="8" w:space="0" w:color="000000"/>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100～90</w:t>
            </w:r>
          </w:p>
        </w:tc>
        <w:tc>
          <w:tcPr>
            <w:tcW w:w="1275" w:type="dxa"/>
            <w:tcBorders>
              <w:top w:val="single" w:sz="8" w:space="0" w:color="000000"/>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89～80</w:t>
            </w:r>
          </w:p>
        </w:tc>
        <w:tc>
          <w:tcPr>
            <w:tcW w:w="1440" w:type="dxa"/>
            <w:tcBorders>
              <w:top w:val="single" w:sz="8" w:space="0" w:color="000000"/>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79～70</w:t>
            </w:r>
          </w:p>
        </w:tc>
        <w:tc>
          <w:tcPr>
            <w:tcW w:w="1320" w:type="dxa"/>
            <w:tcBorders>
              <w:top w:val="single" w:sz="8" w:space="0" w:color="000000"/>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69～60</w:t>
            </w:r>
          </w:p>
        </w:tc>
        <w:tc>
          <w:tcPr>
            <w:tcW w:w="1310" w:type="dxa"/>
            <w:tcBorders>
              <w:top w:val="single" w:sz="8" w:space="0" w:color="000000"/>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﹤60分</w:t>
            </w:r>
          </w:p>
        </w:tc>
      </w:tr>
      <w:tr w:rsidR="00EB3295">
        <w:trPr>
          <w:trHeight w:val="426"/>
          <w:jc w:val="center"/>
        </w:trPr>
        <w:tc>
          <w:tcPr>
            <w:tcW w:w="1483" w:type="dxa"/>
            <w:tcBorders>
              <w:top w:val="nil"/>
              <w:left w:val="single" w:sz="8" w:space="0" w:color="000000"/>
              <w:bottom w:val="single" w:sz="8" w:space="0" w:color="000000"/>
              <w:right w:val="single" w:sz="8" w:space="0" w:color="000000"/>
            </w:tcBorders>
            <w:vAlign w:val="center"/>
          </w:tcPr>
          <w:p w:rsidR="00EB3295" w:rsidRDefault="00372110">
            <w:pPr>
              <w:widowControl/>
              <w:adjustRightInd w:val="0"/>
              <w:snapToGrid w:val="0"/>
              <w:spacing w:line="240" w:lineRule="atLeast"/>
              <w:ind w:firstLineChars="100" w:firstLine="320"/>
              <w:rPr>
                <w:rFonts w:ascii="仿宋" w:eastAsia="仿宋" w:hAnsi="仿宋" w:cs="仿宋"/>
                <w:kern w:val="0"/>
                <w:sz w:val="32"/>
                <w:szCs w:val="32"/>
              </w:rPr>
            </w:pPr>
            <w:proofErr w:type="gramStart"/>
            <w:r>
              <w:rPr>
                <w:rFonts w:ascii="仿宋" w:eastAsia="仿宋" w:hAnsi="仿宋" w:cs="仿宋" w:hint="eastAsia"/>
                <w:kern w:val="0"/>
                <w:sz w:val="32"/>
                <w:szCs w:val="32"/>
              </w:rPr>
              <w:t>绩点</w:t>
            </w:r>
            <w:proofErr w:type="gramEnd"/>
          </w:p>
        </w:tc>
        <w:tc>
          <w:tcPr>
            <w:tcW w:w="1569" w:type="dxa"/>
            <w:tcBorders>
              <w:top w:val="nil"/>
              <w:left w:val="nil"/>
              <w:bottom w:val="single" w:sz="8" w:space="0" w:color="000000"/>
              <w:right w:val="single" w:sz="4" w:space="0" w:color="auto"/>
            </w:tcBorders>
            <w:vAlign w:val="center"/>
          </w:tcPr>
          <w:p w:rsidR="00EB3295" w:rsidRDefault="00372110" w:rsidP="00372110">
            <w:pPr>
              <w:spacing w:line="400" w:lineRule="exact"/>
              <w:ind w:left="180" w:hanging="182"/>
              <w:jc w:val="center"/>
              <w:rPr>
                <w:rFonts w:ascii="仿宋" w:eastAsia="仿宋" w:hAnsi="仿宋" w:cs="仿宋"/>
                <w:kern w:val="0"/>
                <w:sz w:val="32"/>
                <w:szCs w:val="32"/>
              </w:rPr>
            </w:pPr>
            <w:r>
              <w:rPr>
                <w:rFonts w:ascii="仿宋" w:eastAsia="仿宋" w:hAnsi="仿宋" w:cs="仿宋" w:hint="eastAsia"/>
                <w:kern w:val="0"/>
                <w:sz w:val="32"/>
                <w:szCs w:val="32"/>
              </w:rPr>
              <w:t>5-4</w:t>
            </w:r>
          </w:p>
        </w:tc>
        <w:tc>
          <w:tcPr>
            <w:tcW w:w="1275" w:type="dxa"/>
            <w:tcBorders>
              <w:top w:val="nil"/>
              <w:left w:val="single" w:sz="4" w:space="0" w:color="auto"/>
              <w:bottom w:val="single" w:sz="8" w:space="0" w:color="000000"/>
              <w:right w:val="single" w:sz="4" w:space="0" w:color="auto"/>
            </w:tcBorders>
          </w:tcPr>
          <w:p w:rsidR="00EB3295" w:rsidRDefault="00372110" w:rsidP="00372110">
            <w:pPr>
              <w:spacing w:line="400" w:lineRule="exact"/>
              <w:ind w:left="180" w:hanging="182"/>
              <w:jc w:val="center"/>
              <w:rPr>
                <w:rFonts w:ascii="仿宋" w:eastAsia="仿宋" w:hAnsi="仿宋" w:cs="仿宋"/>
                <w:kern w:val="0"/>
                <w:sz w:val="32"/>
                <w:szCs w:val="32"/>
              </w:rPr>
            </w:pPr>
            <w:r>
              <w:rPr>
                <w:rFonts w:ascii="仿宋" w:eastAsia="仿宋" w:hAnsi="仿宋" w:cs="仿宋" w:hint="eastAsia"/>
                <w:kern w:val="0"/>
                <w:sz w:val="32"/>
                <w:szCs w:val="32"/>
              </w:rPr>
              <w:t>3.9-3</w:t>
            </w:r>
          </w:p>
        </w:tc>
        <w:tc>
          <w:tcPr>
            <w:tcW w:w="1440" w:type="dxa"/>
            <w:tcBorders>
              <w:top w:val="nil"/>
              <w:left w:val="single" w:sz="4" w:space="0" w:color="auto"/>
              <w:bottom w:val="single" w:sz="8" w:space="0" w:color="000000"/>
              <w:right w:val="single" w:sz="4" w:space="0" w:color="auto"/>
            </w:tcBorders>
          </w:tcPr>
          <w:p w:rsidR="00EB3295" w:rsidRDefault="00372110" w:rsidP="00372110">
            <w:pPr>
              <w:spacing w:line="400" w:lineRule="exact"/>
              <w:ind w:left="180" w:hanging="182"/>
              <w:jc w:val="center"/>
              <w:rPr>
                <w:rFonts w:ascii="仿宋" w:eastAsia="仿宋" w:hAnsi="仿宋" w:cs="仿宋"/>
                <w:kern w:val="0"/>
                <w:sz w:val="32"/>
                <w:szCs w:val="32"/>
              </w:rPr>
            </w:pPr>
            <w:r>
              <w:rPr>
                <w:rFonts w:ascii="仿宋" w:eastAsia="仿宋" w:hAnsi="仿宋" w:cs="仿宋" w:hint="eastAsia"/>
                <w:kern w:val="0"/>
                <w:sz w:val="32"/>
                <w:szCs w:val="32"/>
              </w:rPr>
              <w:t>2.9-2</w:t>
            </w:r>
          </w:p>
        </w:tc>
        <w:tc>
          <w:tcPr>
            <w:tcW w:w="1320" w:type="dxa"/>
            <w:tcBorders>
              <w:top w:val="nil"/>
              <w:left w:val="single" w:sz="4" w:space="0" w:color="auto"/>
              <w:bottom w:val="single" w:sz="4" w:space="0" w:color="auto"/>
              <w:right w:val="single" w:sz="8" w:space="0" w:color="000000"/>
            </w:tcBorders>
          </w:tcPr>
          <w:p w:rsidR="00EB3295" w:rsidRDefault="00372110" w:rsidP="00372110">
            <w:pPr>
              <w:spacing w:line="400" w:lineRule="exact"/>
              <w:ind w:left="180" w:hanging="182"/>
              <w:jc w:val="center"/>
              <w:rPr>
                <w:rFonts w:ascii="仿宋" w:eastAsia="仿宋" w:hAnsi="仿宋" w:cs="仿宋"/>
                <w:kern w:val="0"/>
                <w:sz w:val="32"/>
                <w:szCs w:val="32"/>
              </w:rPr>
            </w:pPr>
            <w:r>
              <w:rPr>
                <w:rFonts w:ascii="仿宋" w:eastAsia="仿宋" w:hAnsi="仿宋" w:cs="仿宋" w:hint="eastAsia"/>
                <w:kern w:val="0"/>
                <w:sz w:val="32"/>
                <w:szCs w:val="32"/>
              </w:rPr>
              <w:t>1.9-1</w:t>
            </w:r>
          </w:p>
        </w:tc>
        <w:tc>
          <w:tcPr>
            <w:tcW w:w="1310"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EB3295">
        <w:trPr>
          <w:trHeight w:val="426"/>
          <w:jc w:val="center"/>
        </w:trPr>
        <w:tc>
          <w:tcPr>
            <w:tcW w:w="1483" w:type="dxa"/>
            <w:tcBorders>
              <w:top w:val="nil"/>
              <w:left w:val="single" w:sz="8" w:space="0" w:color="000000"/>
              <w:bottom w:val="single" w:sz="8" w:space="0" w:color="000000"/>
              <w:right w:val="single" w:sz="8" w:space="0" w:color="000000"/>
            </w:tcBorders>
            <w:vAlign w:val="center"/>
          </w:tcPr>
          <w:p w:rsidR="00EB3295" w:rsidRDefault="00372110">
            <w:pPr>
              <w:widowControl/>
              <w:adjustRightInd w:val="0"/>
              <w:snapToGrid w:val="0"/>
              <w:spacing w:line="240" w:lineRule="atLeast"/>
              <w:rPr>
                <w:rFonts w:ascii="仿宋" w:eastAsia="仿宋" w:hAnsi="仿宋" w:cs="仿宋"/>
                <w:kern w:val="0"/>
                <w:sz w:val="32"/>
                <w:szCs w:val="32"/>
              </w:rPr>
            </w:pPr>
            <w:r>
              <w:rPr>
                <w:rFonts w:ascii="仿宋" w:eastAsia="仿宋" w:hAnsi="仿宋" w:cs="仿宋" w:hint="eastAsia"/>
                <w:kern w:val="0"/>
                <w:sz w:val="32"/>
                <w:szCs w:val="32"/>
              </w:rPr>
              <w:t>五级制</w:t>
            </w:r>
          </w:p>
        </w:tc>
        <w:tc>
          <w:tcPr>
            <w:tcW w:w="1569"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优秀</w:t>
            </w:r>
          </w:p>
        </w:tc>
        <w:tc>
          <w:tcPr>
            <w:tcW w:w="1275" w:type="dxa"/>
            <w:tcBorders>
              <w:top w:val="nil"/>
              <w:left w:val="nil"/>
              <w:bottom w:val="single" w:sz="8" w:space="0" w:color="000000"/>
              <w:right w:val="single" w:sz="4" w:space="0" w:color="auto"/>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良好</w:t>
            </w:r>
          </w:p>
        </w:tc>
        <w:tc>
          <w:tcPr>
            <w:tcW w:w="1440" w:type="dxa"/>
            <w:tcBorders>
              <w:top w:val="nil"/>
              <w:left w:val="single" w:sz="4" w:space="0" w:color="auto"/>
              <w:bottom w:val="single" w:sz="8" w:space="0" w:color="000000"/>
              <w:right w:val="single" w:sz="4" w:space="0" w:color="auto"/>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中等</w:t>
            </w:r>
          </w:p>
        </w:tc>
        <w:tc>
          <w:tcPr>
            <w:tcW w:w="1320" w:type="dxa"/>
            <w:tcBorders>
              <w:top w:val="nil"/>
              <w:left w:val="single" w:sz="4" w:space="0" w:color="auto"/>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及格</w:t>
            </w:r>
          </w:p>
        </w:tc>
        <w:tc>
          <w:tcPr>
            <w:tcW w:w="1310"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不及格</w:t>
            </w:r>
          </w:p>
        </w:tc>
      </w:tr>
      <w:tr w:rsidR="00EB3295">
        <w:trPr>
          <w:trHeight w:val="426"/>
          <w:jc w:val="center"/>
        </w:trPr>
        <w:tc>
          <w:tcPr>
            <w:tcW w:w="1483" w:type="dxa"/>
            <w:tcBorders>
              <w:top w:val="nil"/>
              <w:left w:val="single" w:sz="8" w:space="0" w:color="000000"/>
              <w:bottom w:val="single" w:sz="8" w:space="0" w:color="000000"/>
              <w:right w:val="single" w:sz="8" w:space="0" w:color="000000"/>
            </w:tcBorders>
            <w:vAlign w:val="center"/>
          </w:tcPr>
          <w:p w:rsidR="00EB3295" w:rsidRDefault="00372110">
            <w:pPr>
              <w:widowControl/>
              <w:adjustRightInd w:val="0"/>
              <w:snapToGrid w:val="0"/>
              <w:spacing w:line="240" w:lineRule="atLeast"/>
              <w:ind w:firstLineChars="100" w:firstLine="320"/>
              <w:rPr>
                <w:rFonts w:ascii="仿宋" w:eastAsia="仿宋" w:hAnsi="仿宋" w:cs="仿宋"/>
                <w:kern w:val="0"/>
                <w:sz w:val="32"/>
                <w:szCs w:val="32"/>
              </w:rPr>
            </w:pPr>
            <w:proofErr w:type="gramStart"/>
            <w:r>
              <w:rPr>
                <w:rFonts w:ascii="仿宋" w:eastAsia="仿宋" w:hAnsi="仿宋" w:cs="仿宋" w:hint="eastAsia"/>
                <w:kern w:val="0"/>
                <w:sz w:val="32"/>
                <w:szCs w:val="32"/>
              </w:rPr>
              <w:t>绩点</w:t>
            </w:r>
            <w:proofErr w:type="gramEnd"/>
          </w:p>
        </w:tc>
        <w:tc>
          <w:tcPr>
            <w:tcW w:w="1569"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4</w:t>
            </w:r>
          </w:p>
        </w:tc>
        <w:tc>
          <w:tcPr>
            <w:tcW w:w="1275"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3</w:t>
            </w:r>
          </w:p>
        </w:tc>
        <w:tc>
          <w:tcPr>
            <w:tcW w:w="1440"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2</w:t>
            </w:r>
          </w:p>
        </w:tc>
        <w:tc>
          <w:tcPr>
            <w:tcW w:w="1320"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1</w:t>
            </w:r>
          </w:p>
        </w:tc>
        <w:tc>
          <w:tcPr>
            <w:tcW w:w="1310" w:type="dxa"/>
            <w:tcBorders>
              <w:top w:val="nil"/>
              <w:left w:val="nil"/>
              <w:bottom w:val="single" w:sz="8" w:space="0" w:color="000000"/>
              <w:right w:val="single" w:sz="8" w:space="0" w:color="000000"/>
            </w:tcBorders>
            <w:vAlign w:val="center"/>
          </w:tcPr>
          <w:p w:rsidR="00EB3295" w:rsidRDefault="00372110" w:rsidP="00372110">
            <w:pPr>
              <w:widowControl/>
              <w:adjustRightInd w:val="0"/>
              <w:snapToGrid w:val="0"/>
              <w:spacing w:line="240" w:lineRule="atLeast"/>
              <w:jc w:val="center"/>
              <w:rPr>
                <w:rFonts w:ascii="仿宋" w:eastAsia="仿宋" w:hAnsi="仿宋" w:cs="仿宋"/>
                <w:kern w:val="0"/>
                <w:sz w:val="32"/>
                <w:szCs w:val="32"/>
              </w:rPr>
            </w:pPr>
            <w:r>
              <w:rPr>
                <w:rFonts w:ascii="仿宋" w:eastAsia="仿宋" w:hAnsi="仿宋" w:cs="仿宋" w:hint="eastAsia"/>
                <w:kern w:val="0"/>
                <w:sz w:val="32"/>
                <w:szCs w:val="32"/>
              </w:rPr>
              <w:t>0</w:t>
            </w:r>
          </w:p>
        </w:tc>
      </w:tr>
    </w:tbl>
    <w:p w:rsidR="00EB3295" w:rsidRDefault="00372110">
      <w:pPr>
        <w:pStyle w:val="a9"/>
        <w:widowControl/>
        <w:adjustRightInd w:val="0"/>
        <w:snapToGrid w:val="0"/>
        <w:ind w:firstLine="640"/>
        <w:rPr>
          <w:rFonts w:ascii="仿宋" w:eastAsia="仿宋" w:hAnsi="仿宋" w:cs="宋体"/>
          <w:kern w:val="0"/>
          <w:sz w:val="32"/>
          <w:szCs w:val="32"/>
        </w:rPr>
      </w:pPr>
      <w:proofErr w:type="gramStart"/>
      <w:r>
        <w:rPr>
          <w:rFonts w:ascii="仿宋" w:eastAsia="仿宋" w:hAnsi="仿宋" w:cs="宋体" w:hint="eastAsia"/>
          <w:kern w:val="0"/>
          <w:sz w:val="32"/>
          <w:szCs w:val="32"/>
        </w:rPr>
        <w:t>学分绩点以</w:t>
      </w:r>
      <w:proofErr w:type="gramEnd"/>
      <w:r>
        <w:rPr>
          <w:rFonts w:ascii="仿宋" w:eastAsia="仿宋" w:hAnsi="仿宋" w:cs="宋体" w:hint="eastAsia"/>
          <w:kern w:val="0"/>
          <w:sz w:val="32"/>
          <w:szCs w:val="32"/>
        </w:rPr>
        <w:t>学生课程成绩为依据，具体计算方法为：</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某门课程的</w:t>
      </w:r>
      <w:proofErr w:type="gramStart"/>
      <w:r>
        <w:rPr>
          <w:rFonts w:ascii="仿宋" w:eastAsia="仿宋" w:hAnsi="仿宋" w:cs="宋体" w:hint="eastAsia"/>
          <w:kern w:val="0"/>
          <w:sz w:val="32"/>
          <w:szCs w:val="32"/>
        </w:rPr>
        <w:t>学分绩点</w:t>
      </w:r>
      <w:proofErr w:type="gramEnd"/>
      <w:r>
        <w:rPr>
          <w:rFonts w:ascii="仿宋" w:eastAsia="仿宋" w:hAnsi="仿宋" w:cs="宋体" w:hint="eastAsia"/>
          <w:kern w:val="0"/>
          <w:sz w:val="32"/>
          <w:szCs w:val="32"/>
        </w:rPr>
        <w:t>=该门课程的学分×绩点。</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平均</w:t>
      </w:r>
      <w:proofErr w:type="gramStart"/>
      <w:r>
        <w:rPr>
          <w:rFonts w:ascii="仿宋" w:eastAsia="仿宋" w:hAnsi="仿宋" w:cs="宋体" w:hint="eastAsia"/>
          <w:kern w:val="0"/>
          <w:sz w:val="32"/>
          <w:szCs w:val="32"/>
        </w:rPr>
        <w:t>学分绩点</w:t>
      </w:r>
      <w:proofErr w:type="gramEnd"/>
      <w:r>
        <w:rPr>
          <w:rFonts w:ascii="仿宋" w:eastAsia="仿宋" w:hAnsi="仿宋" w:cs="宋体" w:hint="eastAsia"/>
          <w:kern w:val="0"/>
          <w:sz w:val="32"/>
          <w:szCs w:val="32"/>
        </w:rPr>
        <w:t>=所修各门课程</w:t>
      </w:r>
      <w:proofErr w:type="gramStart"/>
      <w:r>
        <w:rPr>
          <w:rFonts w:ascii="仿宋" w:eastAsia="仿宋" w:hAnsi="仿宋" w:cs="宋体" w:hint="eastAsia"/>
          <w:kern w:val="0"/>
          <w:sz w:val="32"/>
          <w:szCs w:val="32"/>
        </w:rPr>
        <w:t>学分绩点总和</w:t>
      </w:r>
      <w:proofErr w:type="gramEnd"/>
      <w:r>
        <w:rPr>
          <w:rFonts w:ascii="仿宋" w:eastAsia="仿宋" w:hAnsi="仿宋" w:cs="宋体" w:hint="eastAsia"/>
          <w:kern w:val="0"/>
          <w:sz w:val="32"/>
          <w:szCs w:val="32"/>
        </w:rPr>
        <w:t>÷所修各门课程学分总和。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lastRenderedPageBreak/>
        <w:t>第十三条 课程总评成绩应结合平时、期中和期末考核综合评定，60分（或及格）及以上的，可取得相应的学分和</w:t>
      </w:r>
      <w:proofErr w:type="gramStart"/>
      <w:r>
        <w:rPr>
          <w:rFonts w:ascii="仿宋" w:eastAsia="仿宋" w:hAnsi="仿宋" w:cs="宋体" w:hint="eastAsia"/>
          <w:kern w:val="0"/>
          <w:sz w:val="32"/>
          <w:szCs w:val="32"/>
        </w:rPr>
        <w:t>绩点</w:t>
      </w:r>
      <w:proofErr w:type="gramEnd"/>
      <w:r>
        <w:rPr>
          <w:rFonts w:ascii="仿宋" w:eastAsia="仿宋" w:hAnsi="仿宋" w:cs="宋体" w:hint="eastAsia"/>
          <w:kern w:val="0"/>
          <w:sz w:val="32"/>
          <w:szCs w:val="32"/>
        </w:rPr>
        <w:t>。课程总评成绩与学分由办学单位归入学生本人档案。</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考试课程原则上每学期设3～5门，其总评成绩以平时成绩、期中和期末考试成绩按比例进行计算，各部分所占比例，由办学单位根据课程具体情况确定并公布实施，期末考试成绩所占比例一般不得低于40%，平时成绩根据学生出勤、平时作业、课堂互动和测验及其学习态度等情况综合评定。</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考查课程的成绩应注重于过程性评价，原则上由任课教师依据该课程平时成绩、期中和期末随堂测试成绩综合评定。实践课程的成绩可参照相应技能考核标准进行评定。岗位实习、毕业设计（论文）的成绩按办学单位具体规定进行评定。鼓励、支持相关专业学生的毕业设计以作品或产品的形式呈现。</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第十四条 办学单位应按照《江苏联合职业技术学院五年制高职学生综合素质评价实施方案（试行）》的有关规定，组织对学生德智体美劳发展</w:t>
      </w:r>
      <w:r w:rsidR="0073217E">
        <w:rPr>
          <w:rFonts w:ascii="仿宋" w:eastAsia="仿宋" w:hAnsi="仿宋" w:cs="宋体" w:hint="eastAsia"/>
          <w:kern w:val="0"/>
          <w:sz w:val="32"/>
          <w:szCs w:val="32"/>
        </w:rPr>
        <w:t>的</w:t>
      </w:r>
      <w:r>
        <w:rPr>
          <w:rFonts w:ascii="仿宋" w:eastAsia="仿宋" w:hAnsi="仿宋" w:cs="宋体" w:hint="eastAsia"/>
          <w:kern w:val="0"/>
          <w:sz w:val="32"/>
          <w:szCs w:val="32"/>
        </w:rPr>
        <w:t>情况按学年进行评价，确定优秀、良好、合格、不合格的等级，评价结果由办学单位归入学生本人档案。</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第十五条 学生每学年所修课程或者应修学分数以及升级、留级、降级等要求，由办学单位规定。</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第十六条 学生参加技能大赛、创新创业大赛、社会实践等活动以及发表论文、获得专利授权等与专业学习、学业要求相关的经历、成果，可以折算为学分，计入学业成绩。具体办法由办学单位规定。</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办学单位应当鼓励、支持和指导学生参加社会实践、创新创业活动，可以建立创新创业档案、设置创新创业学分。</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第十七条 课程考核前由任课教师对学生的考试（考查）资格进行审查，并将审查结果报办学单位教务处。学生有下列情形之一的，经教务处批准，可取消其相应课程的考试（考查）资格：</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1.该门课程缺课累计超过人才培养方案规定学时数1/3及以上；</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lastRenderedPageBreak/>
        <w:t>2.该门课程无故缺交平时作业1/3及以上；</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3.开设实验、实训的课程，没有完成规定的实验、实训任务。</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第十八条 学生因病或其他特殊原因不能参加正常考核，须在考核前由学生向办学单位提出书面申请，病假须持校医务室或二级甲等以上医院证明，经办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审核同意后安排缓考。办学单位应安排缓考学生在下一学期开学两周内进行考核。缓考后的总评成绩由平时成绩、卷面成绩等综合评定。擅自缺考者以</w:t>
      </w:r>
      <w:proofErr w:type="gramStart"/>
      <w:r>
        <w:rPr>
          <w:rFonts w:ascii="仿宋" w:eastAsia="仿宋" w:hAnsi="仿宋" w:cs="宋体" w:hint="eastAsia"/>
          <w:kern w:val="0"/>
          <w:sz w:val="32"/>
          <w:szCs w:val="32"/>
        </w:rPr>
        <w:t>旷</w:t>
      </w:r>
      <w:proofErr w:type="gramEnd"/>
      <w:r>
        <w:rPr>
          <w:rFonts w:ascii="仿宋" w:eastAsia="仿宋" w:hAnsi="仿宋" w:cs="宋体" w:hint="eastAsia"/>
          <w:kern w:val="0"/>
          <w:sz w:val="32"/>
          <w:szCs w:val="32"/>
        </w:rPr>
        <w:t>考处理。</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第十九条 因参加国家级、省级技能大赛办理缓考的学生，获奖者的专业基础课、专业课的平时成绩原则上按优秀等第或对应的百分制成绩评定，未获奖者的专业基础课、专业课的平时成绩原则上</w:t>
      </w:r>
      <w:proofErr w:type="gramStart"/>
      <w:r>
        <w:rPr>
          <w:rFonts w:ascii="仿宋" w:eastAsia="仿宋" w:hAnsi="仿宋" w:cs="宋体" w:hint="eastAsia"/>
          <w:kern w:val="0"/>
          <w:sz w:val="32"/>
          <w:szCs w:val="32"/>
        </w:rPr>
        <w:t>按良好</w:t>
      </w:r>
      <w:proofErr w:type="gramEnd"/>
      <w:r>
        <w:rPr>
          <w:rFonts w:ascii="仿宋" w:eastAsia="仿宋" w:hAnsi="仿宋" w:cs="宋体" w:hint="eastAsia"/>
          <w:kern w:val="0"/>
          <w:sz w:val="32"/>
          <w:szCs w:val="32"/>
        </w:rPr>
        <w:t>等第或对应的百分制成绩评定。</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第二十条 学期课程考核或缓考不及格的，补考或重修时间由办学单位统一安排，补考一般安排在新学期开学后两周内进行。</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hint="eastAsia"/>
          <w:sz w:val="32"/>
          <w:szCs w:val="32"/>
        </w:rPr>
        <w:t xml:space="preserve">第二十一条 </w:t>
      </w:r>
      <w:r>
        <w:rPr>
          <w:rFonts w:ascii="仿宋" w:eastAsia="仿宋" w:hAnsi="仿宋"/>
          <w:sz w:val="32"/>
          <w:szCs w:val="32"/>
        </w:rPr>
        <w:t>学生</w:t>
      </w:r>
      <w:r>
        <w:rPr>
          <w:rFonts w:ascii="仿宋" w:eastAsia="仿宋" w:hAnsi="仿宋" w:cs="宋体"/>
          <w:kern w:val="0"/>
          <w:sz w:val="32"/>
          <w:szCs w:val="32"/>
        </w:rPr>
        <w:t>严重</w:t>
      </w:r>
      <w:r>
        <w:rPr>
          <w:rFonts w:ascii="仿宋" w:eastAsia="仿宋" w:hAnsi="仿宋"/>
          <w:sz w:val="32"/>
          <w:szCs w:val="32"/>
        </w:rPr>
        <w:t>违反考核纪律或者作弊的，该课程考核成绩记为无效</w:t>
      </w:r>
      <w:r>
        <w:rPr>
          <w:rFonts w:ascii="仿宋" w:eastAsia="仿宋" w:hAnsi="仿宋" w:hint="eastAsia"/>
          <w:sz w:val="32"/>
          <w:szCs w:val="32"/>
        </w:rPr>
        <w:t>，</w:t>
      </w:r>
      <w:r>
        <w:rPr>
          <w:rFonts w:ascii="仿宋" w:eastAsia="仿宋" w:hAnsi="仿宋"/>
          <w:sz w:val="32"/>
          <w:szCs w:val="32"/>
        </w:rPr>
        <w:t>并应视其违纪或者作弊情节，给予</w:t>
      </w:r>
      <w:r>
        <w:rPr>
          <w:rFonts w:ascii="仿宋" w:eastAsia="仿宋" w:hAnsi="仿宋" w:hint="eastAsia"/>
          <w:sz w:val="32"/>
          <w:szCs w:val="32"/>
        </w:rPr>
        <w:t>相应</w:t>
      </w:r>
      <w:r>
        <w:rPr>
          <w:rFonts w:ascii="仿宋" w:eastAsia="仿宋" w:hAnsi="仿宋"/>
          <w:sz w:val="32"/>
          <w:szCs w:val="32"/>
        </w:rPr>
        <w:t>的纪律处分。</w:t>
      </w:r>
      <w:r>
        <w:rPr>
          <w:rFonts w:ascii="仿宋" w:eastAsia="仿宋" w:hAnsi="仿宋" w:hint="eastAsia"/>
          <w:sz w:val="32"/>
          <w:szCs w:val="32"/>
        </w:rPr>
        <w:t>给予警告、严重警告、记过及留校察看处分的，</w:t>
      </w:r>
      <w:r>
        <w:rPr>
          <w:rFonts w:ascii="仿宋" w:eastAsia="仿宋" w:hAnsi="仿宋" w:cs="宋体"/>
          <w:kern w:val="0"/>
          <w:sz w:val="32"/>
          <w:szCs w:val="32"/>
        </w:rPr>
        <w:t>经教育表现较好，由办学单位批准，可以对该课程给予补考或</w:t>
      </w:r>
      <w:r>
        <w:rPr>
          <w:rFonts w:ascii="仿宋" w:eastAsia="仿宋" w:hAnsi="仿宋" w:cs="宋体" w:hint="eastAsia"/>
          <w:kern w:val="0"/>
          <w:sz w:val="32"/>
          <w:szCs w:val="32"/>
        </w:rPr>
        <w:t>者</w:t>
      </w:r>
      <w:r>
        <w:rPr>
          <w:rFonts w:ascii="仿宋" w:eastAsia="仿宋" w:hAnsi="仿宋" w:cs="宋体"/>
          <w:kern w:val="0"/>
          <w:sz w:val="32"/>
          <w:szCs w:val="32"/>
        </w:rPr>
        <w:t>重修机会。</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第二十二条 学生每学年学完人才培养方案规定的课程，取得不少于学年规定学分2/3的，可以升级。统计时，考试、考查课程均列入计算，一门课程分上、下两学期开设的，按其各自学分计入总数。</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第二十三条 办学单位应当健全学生学业成绩和学籍档案管理制度，真实、完整地记载、出具学生学业成绩。补考课程的成绩按“及格（补考）或60分（补考）”或“不及格（补考）”记载，重修课程的成绩按实际成绩记载。</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办学单位应在每学期开学后六周内将在校生上学期各科成绩、评语等提交至学院学生管理信息系统。</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lastRenderedPageBreak/>
        <w:t>第四章  辅修、免修与重修</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第二十四条 学生根据办学单位有关规定，可以申请辅修校内其他专业或者选修其他专业课程；可以申请跨校辅修专业或者修读课程，参加办学单位认可的自学考试、开放式网络课程学习。学生修读的课程成绩（学分），</w:t>
      </w:r>
      <w:r w:rsidR="0073217E">
        <w:rPr>
          <w:rFonts w:ascii="仿宋" w:eastAsia="仿宋" w:hAnsi="仿宋" w:cs="宋体" w:hint="eastAsia"/>
          <w:kern w:val="0"/>
          <w:sz w:val="32"/>
          <w:szCs w:val="32"/>
        </w:rPr>
        <w:t>经</w:t>
      </w:r>
      <w:r>
        <w:rPr>
          <w:rFonts w:ascii="仿宋" w:eastAsia="仿宋" w:hAnsi="仿宋" w:cs="宋体" w:hint="eastAsia"/>
          <w:kern w:val="0"/>
          <w:sz w:val="32"/>
          <w:szCs w:val="32"/>
        </w:rPr>
        <w:t>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审核同意后，予以承认。</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第二十五条 学生学习成绩优良、专业学有所长，或通过自学，确已掌握人才培养方案规定的有关课程内容的，可以在该课程开课前一学期，向办学单位提出</w:t>
      </w:r>
      <w:r w:rsidR="00D739E5">
        <w:rPr>
          <w:rFonts w:ascii="仿宋" w:eastAsia="仿宋" w:hAnsi="仿宋" w:cs="宋体" w:hint="eastAsia"/>
          <w:kern w:val="0"/>
          <w:sz w:val="32"/>
          <w:szCs w:val="32"/>
        </w:rPr>
        <w:t>书面</w:t>
      </w:r>
      <w:r>
        <w:rPr>
          <w:rFonts w:ascii="仿宋" w:eastAsia="仿宋" w:hAnsi="仿宋" w:cs="宋体" w:hint="eastAsia"/>
          <w:kern w:val="0"/>
          <w:sz w:val="32"/>
          <w:szCs w:val="32"/>
        </w:rPr>
        <w:t>免修申请，经审核同意，</w:t>
      </w:r>
      <w:r>
        <w:rPr>
          <w:rFonts w:ascii="仿宋" w:eastAsia="仿宋" w:hAnsi="仿宋" w:hint="eastAsia"/>
          <w:sz w:val="32"/>
          <w:szCs w:val="32"/>
        </w:rPr>
        <w:t>参加办学单位组织的免修考试。考试合格者经办</w:t>
      </w:r>
      <w:proofErr w:type="gramStart"/>
      <w:r>
        <w:rPr>
          <w:rFonts w:ascii="仿宋" w:eastAsia="仿宋" w:hAnsi="仿宋" w:hint="eastAsia"/>
          <w:sz w:val="32"/>
          <w:szCs w:val="32"/>
        </w:rPr>
        <w:t>学单位</w:t>
      </w:r>
      <w:proofErr w:type="gramEnd"/>
      <w:r>
        <w:rPr>
          <w:rFonts w:ascii="仿宋" w:eastAsia="仿宋" w:hAnsi="仿宋" w:hint="eastAsia"/>
          <w:sz w:val="32"/>
          <w:szCs w:val="32"/>
        </w:rPr>
        <w:t>批准报学院备案，可以免修，但必须参加</w:t>
      </w:r>
      <w:r w:rsidR="00C63CA0">
        <w:rPr>
          <w:rFonts w:ascii="仿宋" w:eastAsia="仿宋" w:hAnsi="仿宋" w:hint="eastAsia"/>
          <w:sz w:val="32"/>
          <w:szCs w:val="32"/>
        </w:rPr>
        <w:t>该</w:t>
      </w:r>
      <w:r>
        <w:rPr>
          <w:rFonts w:ascii="仿宋" w:eastAsia="仿宋" w:hAnsi="仿宋" w:hint="eastAsia"/>
          <w:sz w:val="32"/>
          <w:szCs w:val="32"/>
        </w:rPr>
        <w:t>课程实践环节的学习，否则不能取得相应的学分。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第二十六条 学生参加自学考试或远程教育考试，取得与所学专业的课程名称（或内容）相同或相近的单科合格证书，且学分高于或等于办学单位规定的，或通过其他教育形式取得实施性人才培养方案要求的、社会认可的职业技能等级证书，由本人向办学单位申请并提交证书，经审核同意后，可免修该门课程，取得相应学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获得全国英语等级考试（PETS）三级合格证书，或高等学校英语应用能力等级考试（PRETCO）的成绩大于或等于90分，或大学英语四级考试的成绩大于或者等于425分的学生，可申请免修公共英语课程，课程成绩认定为85分。免修课程须注明“免修”字样，同时认可相应学分。</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第二十七条 学生未能升级或转入下一年级时，原已取得学分的课程，经办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审核同意，可以免修，认可相应学分。</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第二十八条 思想政治理论课、实践</w:t>
      </w:r>
      <w:proofErr w:type="gramStart"/>
      <w:r>
        <w:rPr>
          <w:rFonts w:ascii="仿宋" w:eastAsia="仿宋" w:hAnsi="仿宋" w:cs="宋体" w:hint="eastAsia"/>
          <w:kern w:val="0"/>
          <w:sz w:val="32"/>
          <w:szCs w:val="32"/>
        </w:rPr>
        <w:t>课不得</w:t>
      </w:r>
      <w:proofErr w:type="gramEnd"/>
      <w:r>
        <w:rPr>
          <w:rFonts w:ascii="仿宋" w:eastAsia="仿宋" w:hAnsi="仿宋" w:cs="宋体" w:hint="eastAsia"/>
          <w:kern w:val="0"/>
          <w:sz w:val="32"/>
          <w:szCs w:val="32"/>
        </w:rPr>
        <w:t>申请免修。</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第二十九条 体育课原则上不得申请免修。学生因患有某些疾病或有生理缺陷，上体育课确有困难的，可由本人向所在办学单位申请，并提交指定的二级甲等以上医院证明，经办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同意，由体育教师确定其参加保健学习与锻炼，</w:t>
      </w:r>
      <w:r>
        <w:rPr>
          <w:rFonts w:ascii="仿宋" w:eastAsia="仿宋" w:hAnsi="仿宋" w:cs="宋体" w:hint="eastAsia"/>
          <w:kern w:val="0"/>
          <w:sz w:val="32"/>
          <w:szCs w:val="32"/>
        </w:rPr>
        <w:lastRenderedPageBreak/>
        <w:t>或减少考核项目，考核合格的，按60分和相应学分记载其成绩。</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第三十条 补考不及格的课程必须重修。必修课须</w:t>
      </w:r>
      <w:proofErr w:type="gramStart"/>
      <w:r>
        <w:rPr>
          <w:rFonts w:ascii="仿宋" w:eastAsia="仿宋" w:hAnsi="仿宋" w:cs="宋体" w:hint="eastAsia"/>
          <w:kern w:val="0"/>
          <w:sz w:val="32"/>
          <w:szCs w:val="32"/>
        </w:rPr>
        <w:t>重修原</w:t>
      </w:r>
      <w:proofErr w:type="gramEnd"/>
      <w:r>
        <w:rPr>
          <w:rFonts w:ascii="仿宋" w:eastAsia="仿宋" w:hAnsi="仿宋" w:cs="宋体" w:hint="eastAsia"/>
          <w:kern w:val="0"/>
          <w:sz w:val="32"/>
          <w:szCs w:val="32"/>
        </w:rPr>
        <w:t>课程，选修课可</w:t>
      </w:r>
      <w:proofErr w:type="gramStart"/>
      <w:r>
        <w:rPr>
          <w:rFonts w:ascii="仿宋" w:eastAsia="仿宋" w:hAnsi="仿宋" w:cs="宋体" w:hint="eastAsia"/>
          <w:kern w:val="0"/>
          <w:sz w:val="32"/>
          <w:szCs w:val="32"/>
        </w:rPr>
        <w:t>重修原</w:t>
      </w:r>
      <w:proofErr w:type="gramEnd"/>
      <w:r>
        <w:rPr>
          <w:rFonts w:ascii="仿宋" w:eastAsia="仿宋" w:hAnsi="仿宋" w:cs="宋体" w:hint="eastAsia"/>
          <w:kern w:val="0"/>
          <w:sz w:val="32"/>
          <w:szCs w:val="32"/>
        </w:rPr>
        <w:t>课程，也可在规定范围内另行选修。</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毕业班学生因重修课程多，无法跟原班级正常学习的，原则上应留级。</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第三十一条 办学单位应当对累计取得的学分数</w:t>
      </w:r>
      <w:proofErr w:type="gramStart"/>
      <w:r>
        <w:rPr>
          <w:rFonts w:ascii="仿宋" w:eastAsia="仿宋" w:hAnsi="仿宋" w:cs="宋体" w:hint="eastAsia"/>
          <w:kern w:val="0"/>
          <w:sz w:val="32"/>
          <w:szCs w:val="32"/>
        </w:rPr>
        <w:t>比人才</w:t>
      </w:r>
      <w:proofErr w:type="gramEnd"/>
      <w:r>
        <w:rPr>
          <w:rFonts w:ascii="仿宋" w:eastAsia="仿宋" w:hAnsi="仿宋" w:cs="宋体" w:hint="eastAsia"/>
          <w:kern w:val="0"/>
          <w:sz w:val="32"/>
          <w:szCs w:val="32"/>
        </w:rPr>
        <w:t>培养方案规定数少10个学分及以上的学生，及时给予学业提醒，并通知学生家长（监护人）。不按规定补修学分的，按第四十四条处理。</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第五章 休学与复学</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第三十二条 学院标准学制为5年，</w:t>
      </w:r>
      <w:r w:rsidR="0056128A">
        <w:rPr>
          <w:rFonts w:ascii="仿宋" w:eastAsia="仿宋" w:hAnsi="仿宋" w:cs="宋体" w:hint="eastAsia"/>
          <w:kern w:val="0"/>
          <w:sz w:val="32"/>
          <w:szCs w:val="32"/>
        </w:rPr>
        <w:t>最长</w:t>
      </w:r>
      <w:r>
        <w:rPr>
          <w:rFonts w:ascii="仿宋" w:eastAsia="仿宋" w:hAnsi="仿宋" w:cs="宋体" w:hint="eastAsia"/>
          <w:kern w:val="0"/>
          <w:sz w:val="32"/>
          <w:szCs w:val="32"/>
        </w:rPr>
        <w:t>学习年限</w:t>
      </w:r>
      <w:r w:rsidR="0056128A">
        <w:rPr>
          <w:rFonts w:ascii="仿宋" w:eastAsia="仿宋" w:hAnsi="仿宋" w:cs="宋体" w:hint="eastAsia"/>
          <w:kern w:val="0"/>
          <w:sz w:val="32"/>
          <w:szCs w:val="32"/>
        </w:rPr>
        <w:t>原则上</w:t>
      </w:r>
      <w:r w:rsidR="00D739E5">
        <w:rPr>
          <w:rFonts w:ascii="仿宋" w:eastAsia="仿宋" w:hAnsi="仿宋" w:cs="宋体" w:hint="eastAsia"/>
          <w:kern w:val="0"/>
          <w:sz w:val="32"/>
          <w:szCs w:val="32"/>
        </w:rPr>
        <w:t>为</w:t>
      </w:r>
      <w:r w:rsidR="0056128A">
        <w:rPr>
          <w:rFonts w:ascii="仿宋" w:eastAsia="仿宋" w:hAnsi="仿宋" w:cs="宋体" w:hint="eastAsia"/>
          <w:kern w:val="0"/>
          <w:sz w:val="32"/>
          <w:szCs w:val="32"/>
        </w:rPr>
        <w:t>8年</w:t>
      </w:r>
      <w:r>
        <w:rPr>
          <w:rFonts w:ascii="仿宋" w:eastAsia="仿宋" w:hAnsi="仿宋" w:cs="宋体" w:hint="eastAsia"/>
          <w:kern w:val="0"/>
          <w:sz w:val="32"/>
          <w:szCs w:val="32"/>
        </w:rPr>
        <w:t>（含中断学习时间）</w:t>
      </w:r>
      <w:r w:rsidR="0056128A">
        <w:rPr>
          <w:rFonts w:ascii="仿宋" w:eastAsia="仿宋" w:hAnsi="仿宋" w:cs="宋体" w:hint="eastAsia"/>
          <w:kern w:val="0"/>
          <w:sz w:val="32"/>
          <w:szCs w:val="32"/>
        </w:rPr>
        <w:t>，不含服兵役和创业休学时间</w:t>
      </w:r>
      <w:r>
        <w:rPr>
          <w:rFonts w:ascii="仿宋" w:eastAsia="仿宋" w:hAnsi="仿宋" w:cs="宋体" w:hint="eastAsia"/>
          <w:kern w:val="0"/>
          <w:sz w:val="32"/>
          <w:szCs w:val="32"/>
        </w:rPr>
        <w:t>。</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第三十三条 学生可以分阶段完成学业，除另有规定外，应当在学院规定的最长学习年限（含休学和保留学籍）内完成学业。</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第三十四条 学生申请休学或者办学单位认为应当休学的，经办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批准，可以休学。学生休学一般以一年为期，累计不得超过两次、时限不得超过三年。</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第三十五条 新生和在校学生应征参加中国人民解放军（含中国人民武装警察部队），办学单位为其保留入学资格或者学籍至退役后2年。</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第三十六条 学生可以在学习期间申请参与社会创业、就业实践、勤工助学等活动。对年满16周岁，且已获得人才培养方案规定的课程总学分60%以上的学生，需要工学交替、分阶段完成学业的，由学生本人及其家长（监护人）共同提出申请，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批准并报学院备案，可办理休学手续。</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第三十七条 办学单位同意休学后，学生应在一周内办理手续离校。学生休学期间，办学单位为其保留学籍，但不享受在校学习学生待遇。学生保留学籍期间，与其实际所在</w:t>
      </w:r>
      <w:r>
        <w:rPr>
          <w:rFonts w:ascii="仿宋" w:eastAsia="仿宋" w:hAnsi="仿宋" w:cs="宋体" w:hint="eastAsia"/>
          <w:kern w:val="0"/>
          <w:sz w:val="32"/>
          <w:szCs w:val="32"/>
        </w:rPr>
        <w:lastRenderedPageBreak/>
        <w:t>的部队、单位等组织建立管理关系。办学单位和学院对其在外活动不承担管理责任。</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第三十八条 办学单位同意学生办理休学</w:t>
      </w:r>
      <w:r w:rsidR="00D441F6">
        <w:rPr>
          <w:rFonts w:ascii="仿宋" w:eastAsia="仿宋" w:hAnsi="仿宋" w:cs="宋体" w:hint="eastAsia"/>
          <w:kern w:val="0"/>
          <w:sz w:val="32"/>
          <w:szCs w:val="32"/>
        </w:rPr>
        <w:t>手续的，应发放相关通知书，明确告知同意事项、复学的时间及逾期不</w:t>
      </w:r>
      <w:r>
        <w:rPr>
          <w:rFonts w:ascii="仿宋" w:eastAsia="仿宋" w:hAnsi="仿宋" w:cs="宋体" w:hint="eastAsia"/>
          <w:kern w:val="0"/>
          <w:sz w:val="32"/>
          <w:szCs w:val="32"/>
        </w:rPr>
        <w:t>办理相应手续的后果等。</w:t>
      </w:r>
    </w:p>
    <w:p w:rsidR="00EB3295" w:rsidRDefault="00372110">
      <w:pPr>
        <w:pStyle w:val="a9"/>
        <w:widowControl/>
        <w:adjustRightInd w:val="0"/>
        <w:snapToGrid w:val="0"/>
        <w:ind w:firstLine="640"/>
        <w:rPr>
          <w:rFonts w:ascii="仿宋" w:eastAsia="仿宋" w:hAnsi="仿宋"/>
          <w:sz w:val="32"/>
          <w:szCs w:val="32"/>
        </w:rPr>
      </w:pPr>
      <w:r>
        <w:rPr>
          <w:rFonts w:ascii="仿宋" w:eastAsia="仿宋" w:hAnsi="仿宋" w:hint="eastAsia"/>
          <w:sz w:val="32"/>
          <w:szCs w:val="32"/>
        </w:rPr>
        <w:t xml:space="preserve">第三十九条 </w:t>
      </w:r>
      <w:r>
        <w:rPr>
          <w:rFonts w:ascii="仿宋" w:eastAsia="仿宋" w:hAnsi="仿宋"/>
          <w:sz w:val="32"/>
          <w:szCs w:val="32"/>
        </w:rPr>
        <w:t>学生休学期满前</w:t>
      </w:r>
      <w:r>
        <w:rPr>
          <w:rFonts w:ascii="仿宋" w:eastAsia="仿宋" w:hAnsi="仿宋" w:hint="eastAsia"/>
          <w:sz w:val="32"/>
          <w:szCs w:val="32"/>
        </w:rPr>
        <w:t>，</w:t>
      </w:r>
      <w:r>
        <w:rPr>
          <w:rFonts w:ascii="仿宋" w:eastAsia="仿宋" w:hAnsi="仿宋"/>
          <w:sz w:val="32"/>
          <w:szCs w:val="32"/>
        </w:rPr>
        <w:t>应当在</w:t>
      </w:r>
      <w:r>
        <w:rPr>
          <w:rFonts w:ascii="仿宋" w:eastAsia="仿宋" w:hAnsi="仿宋" w:hint="eastAsia"/>
          <w:sz w:val="32"/>
          <w:szCs w:val="32"/>
        </w:rPr>
        <w:t>办学单位</w:t>
      </w:r>
      <w:r>
        <w:rPr>
          <w:rFonts w:ascii="仿宋" w:eastAsia="仿宋" w:hAnsi="仿宋"/>
          <w:sz w:val="32"/>
          <w:szCs w:val="32"/>
        </w:rPr>
        <w:t>规定的期限内提出复学申请，经</w:t>
      </w:r>
      <w:r>
        <w:rPr>
          <w:rFonts w:ascii="仿宋" w:eastAsia="仿宋" w:hAnsi="仿宋" w:hint="eastAsia"/>
          <w:sz w:val="32"/>
          <w:szCs w:val="32"/>
        </w:rPr>
        <w:t>办</w:t>
      </w:r>
      <w:proofErr w:type="gramStart"/>
      <w:r>
        <w:rPr>
          <w:rFonts w:ascii="仿宋" w:eastAsia="仿宋" w:hAnsi="仿宋" w:hint="eastAsia"/>
          <w:sz w:val="32"/>
          <w:szCs w:val="32"/>
        </w:rPr>
        <w:t>学单位</w:t>
      </w:r>
      <w:proofErr w:type="gramEnd"/>
      <w:r>
        <w:rPr>
          <w:rFonts w:ascii="仿宋" w:eastAsia="仿宋" w:hAnsi="仿宋"/>
          <w:sz w:val="32"/>
          <w:szCs w:val="32"/>
        </w:rPr>
        <w:t>复查合格，方可复学。</w:t>
      </w:r>
      <w:r>
        <w:rPr>
          <w:rFonts w:ascii="仿宋" w:eastAsia="仿宋" w:hAnsi="仿宋" w:hint="eastAsia"/>
          <w:sz w:val="32"/>
          <w:szCs w:val="32"/>
        </w:rPr>
        <w:t>休学时间不足一年的以一年计，提前复学的进入下一年级就读。</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hint="eastAsia"/>
          <w:sz w:val="32"/>
          <w:szCs w:val="32"/>
        </w:rPr>
        <w:t xml:space="preserve">第四十条 </w:t>
      </w:r>
      <w:r>
        <w:rPr>
          <w:rFonts w:ascii="仿宋" w:eastAsia="仿宋" w:hAnsi="仿宋" w:cs="宋体" w:hint="eastAsia"/>
          <w:kern w:val="0"/>
          <w:sz w:val="32"/>
          <w:szCs w:val="32"/>
        </w:rPr>
        <w:t>休学期间有违法乱纪行为的，经所在办学单位认定，取消复学资格和学籍。</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第四十一条 退役学生须凭退役证明申请复学，退役时间超过2年的不予复学。</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第四十二条 学生复学后原则上应转入相应年级原专业学习，复学时原专业无后继班级的，办学单位应根据实际情况，经校长办公会研究同意，并报学院审批后，可转入相应年级同一大类相近专业继续学习。</w:t>
      </w:r>
    </w:p>
    <w:p w:rsidR="00EB3295" w:rsidRDefault="00EB3295">
      <w:pPr>
        <w:pStyle w:val="a9"/>
        <w:widowControl/>
        <w:adjustRightInd w:val="0"/>
        <w:snapToGrid w:val="0"/>
        <w:ind w:firstLine="480"/>
        <w:rPr>
          <w:rFonts w:ascii="宋体" w:eastAsia="宋体" w:hAnsi="宋体" w:cs="宋体"/>
          <w:kern w:val="0"/>
          <w:sz w:val="24"/>
          <w:szCs w:val="24"/>
        </w:rPr>
      </w:pP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第六章 转专业与转学</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第四十三条 学生转专业与转学按照《江苏联合职业技术学院学生转专业与转学管理办法（试行）》的有关规定执行。</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第七章 退学</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第四十四条 学生有下列情形之一，办学单位可</w:t>
      </w:r>
      <w:proofErr w:type="gramStart"/>
      <w:r>
        <w:rPr>
          <w:rFonts w:ascii="仿宋" w:eastAsia="仿宋" w:hAnsi="仿宋" w:cs="宋体" w:hint="eastAsia"/>
          <w:kern w:val="0"/>
          <w:sz w:val="32"/>
          <w:szCs w:val="32"/>
        </w:rPr>
        <w:t>予退</w:t>
      </w:r>
      <w:proofErr w:type="gramEnd"/>
      <w:r>
        <w:rPr>
          <w:rFonts w:ascii="仿宋" w:eastAsia="仿宋" w:hAnsi="仿宋" w:cs="宋体" w:hint="eastAsia"/>
          <w:kern w:val="0"/>
          <w:sz w:val="32"/>
          <w:szCs w:val="32"/>
        </w:rPr>
        <w:t>学处理：</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1.学业成绩未达到办学单位要求或者在学院规定的学习年限内未完成学业的；</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2.休学、保留学籍期满，在办学单位规定期限内未提出复学申请或者申请复学经复查不合格的；</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3.根据办学单位指定医院诊断，患有疾病或者意外伤残不能继续在校学习的；</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lastRenderedPageBreak/>
        <w:t>4.未经批准连续两</w:t>
      </w:r>
      <w:proofErr w:type="gramStart"/>
      <w:r>
        <w:rPr>
          <w:rFonts w:ascii="仿宋" w:eastAsia="仿宋" w:hAnsi="仿宋" w:cs="宋体" w:hint="eastAsia"/>
          <w:kern w:val="0"/>
          <w:sz w:val="32"/>
          <w:szCs w:val="32"/>
        </w:rPr>
        <w:t>周未</w:t>
      </w:r>
      <w:proofErr w:type="gramEnd"/>
      <w:r>
        <w:rPr>
          <w:rFonts w:ascii="仿宋" w:eastAsia="仿宋" w:hAnsi="仿宋" w:cs="宋体" w:hint="eastAsia"/>
          <w:kern w:val="0"/>
          <w:sz w:val="32"/>
          <w:szCs w:val="32"/>
        </w:rPr>
        <w:t>参加办学单位规定教学活动的；</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5.超过办学单位规定期限未注册而又未履行暂缓注册手续的；</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6.办学单位规定的不能完成学业、应</w:t>
      </w:r>
      <w:proofErr w:type="gramStart"/>
      <w:r>
        <w:rPr>
          <w:rFonts w:ascii="仿宋" w:eastAsia="仿宋" w:hAnsi="仿宋" w:cs="宋体" w:hint="eastAsia"/>
          <w:kern w:val="0"/>
          <w:sz w:val="32"/>
          <w:szCs w:val="32"/>
        </w:rPr>
        <w:t>予退</w:t>
      </w:r>
      <w:proofErr w:type="gramEnd"/>
      <w:r>
        <w:rPr>
          <w:rFonts w:ascii="仿宋" w:eastAsia="仿宋" w:hAnsi="仿宋" w:cs="宋体" w:hint="eastAsia"/>
          <w:kern w:val="0"/>
          <w:sz w:val="32"/>
          <w:szCs w:val="32"/>
        </w:rPr>
        <w:t>学的其他情形。</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学生本人申请退学，经办</w:t>
      </w:r>
      <w:proofErr w:type="gramStart"/>
      <w:r>
        <w:rPr>
          <w:rFonts w:ascii="仿宋" w:eastAsia="仿宋" w:hAnsi="仿宋" w:cs="宋体" w:hint="eastAsia"/>
          <w:kern w:val="0"/>
          <w:sz w:val="32"/>
          <w:szCs w:val="32"/>
        </w:rPr>
        <w:t>学单位</w:t>
      </w:r>
      <w:proofErr w:type="gramEnd"/>
      <w:r>
        <w:rPr>
          <w:rFonts w:ascii="仿宋" w:eastAsia="仿宋" w:hAnsi="仿宋" w:cs="宋体" w:hint="eastAsia"/>
          <w:kern w:val="0"/>
          <w:sz w:val="32"/>
          <w:szCs w:val="32"/>
        </w:rPr>
        <w:t>审核同意后，办理退学手续。</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第四十五条 学生退学的善后问题，按下列条款办理：</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1.对退学的学生，办学单位须通知其家长（监护人），并出具退学决定书；</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2.办学单位已通过各种可用途径联系不上本人及其家长（监护人）的，可通过网络、媒体等手段发布，或向其家中寄发退学决定书；</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3.退学学生应在办学单位规定的期限内办理退学手续离校；</w:t>
      </w:r>
    </w:p>
    <w:p w:rsidR="00EB3295" w:rsidRDefault="00372110">
      <w:pPr>
        <w:widowControl/>
        <w:adjustRightInd w:val="0"/>
        <w:snapToGrid w:val="0"/>
        <w:ind w:firstLineChars="200" w:firstLine="640"/>
        <w:rPr>
          <w:rFonts w:ascii="仿宋" w:eastAsia="仿宋" w:hAnsi="仿宋" w:cs="宋体"/>
          <w:kern w:val="0"/>
          <w:sz w:val="32"/>
          <w:szCs w:val="32"/>
        </w:rPr>
      </w:pPr>
      <w:r>
        <w:rPr>
          <w:rFonts w:ascii="仿宋" w:eastAsia="仿宋" w:hAnsi="仿宋" w:cs="宋体" w:hint="eastAsia"/>
          <w:kern w:val="0"/>
          <w:sz w:val="32"/>
          <w:szCs w:val="32"/>
        </w:rPr>
        <w:t>4.因患病或意外伤残退学的，要求其家长（监护人）负责领回。</w:t>
      </w:r>
    </w:p>
    <w:p w:rsidR="00EB3295" w:rsidRDefault="00372110">
      <w:pPr>
        <w:widowControl/>
        <w:adjustRightInd w:val="0"/>
        <w:snapToGrid w:val="0"/>
        <w:ind w:firstLineChars="200" w:firstLine="640"/>
        <w:rPr>
          <w:rFonts w:ascii="宋体" w:eastAsia="宋体" w:hAnsi="宋体" w:cs="宋体"/>
          <w:kern w:val="0"/>
          <w:sz w:val="24"/>
          <w:szCs w:val="24"/>
        </w:rPr>
      </w:pPr>
      <w:r>
        <w:rPr>
          <w:rFonts w:ascii="仿宋" w:eastAsia="仿宋" w:hAnsi="仿宋" w:cs="宋体" w:hint="eastAsia"/>
          <w:kern w:val="0"/>
          <w:sz w:val="32"/>
          <w:szCs w:val="32"/>
        </w:rPr>
        <w:t>第四十六条 退学不属于对学生的处分。办学单位批准学生退学，须经校长办公会研究决定，并报学院备案。</w:t>
      </w:r>
    </w:p>
    <w:p w:rsidR="00EB3295" w:rsidRDefault="00372110">
      <w:pPr>
        <w:pStyle w:val="a9"/>
        <w:widowControl/>
        <w:adjustRightInd w:val="0"/>
        <w:snapToGrid w:val="0"/>
        <w:ind w:firstLine="640"/>
        <w:rPr>
          <w:rFonts w:ascii="宋体" w:eastAsia="仿宋" w:hAnsi="宋体" w:cs="宋体"/>
          <w:kern w:val="0"/>
          <w:sz w:val="24"/>
          <w:szCs w:val="24"/>
        </w:rPr>
      </w:pPr>
      <w:r>
        <w:rPr>
          <w:rFonts w:ascii="仿宋" w:eastAsia="仿宋" w:hAnsi="仿宋" w:cs="宋体" w:hint="eastAsia"/>
          <w:kern w:val="0"/>
          <w:sz w:val="32"/>
          <w:szCs w:val="32"/>
        </w:rPr>
        <w:t>第四十七条 退学学生不得申请复学。</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第八章 毕业、结业与肄业</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第四十八条 学生在学院规定学习年限内，修完人才培养方案规定课程，成绩合格，达到毕业要求的，经学院审核批准，准予毕业，由学院发给毕业证书。毕业证书发放时间一般安排在每年6月。</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学生提前</w:t>
      </w:r>
      <w:r w:rsidR="00D441F6">
        <w:rPr>
          <w:rFonts w:ascii="仿宋" w:eastAsia="仿宋" w:hAnsi="仿宋" w:cs="宋体" w:hint="eastAsia"/>
          <w:kern w:val="0"/>
          <w:sz w:val="32"/>
          <w:szCs w:val="32"/>
        </w:rPr>
        <w:t>修完</w:t>
      </w:r>
      <w:r>
        <w:rPr>
          <w:rFonts w:ascii="仿宋" w:eastAsia="仿宋" w:hAnsi="仿宋" w:cs="宋体" w:hint="eastAsia"/>
          <w:kern w:val="0"/>
          <w:sz w:val="32"/>
          <w:szCs w:val="32"/>
        </w:rPr>
        <w:t>人才培养方案规定课程，取得毕业所要求的学分，可以申请提前毕业。</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第四十九条 学生在学院规定学习年限内，修完人才培养方案规定课程，但未达到毕业要求的，学院可以准予结业，发给结业证书。</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第五十条 学生结业且在规定的学习年限内，由本人申请，参加原所在办学单位认可的重修或补考，达到毕业要求</w:t>
      </w:r>
      <w:r>
        <w:rPr>
          <w:rFonts w:ascii="仿宋" w:eastAsia="仿宋" w:hAnsi="仿宋" w:cs="宋体" w:hint="eastAsia"/>
          <w:kern w:val="0"/>
          <w:sz w:val="32"/>
          <w:szCs w:val="32"/>
        </w:rPr>
        <w:lastRenderedPageBreak/>
        <w:t>可换发毕业证书，毕业时间按发证日期填写。超过学习年限的不予换发毕业证书。</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第五十一条 对办理退学手续的学生,在校学习一年及以上，且所学的课程考核合格的，发给</w:t>
      </w:r>
      <w:proofErr w:type="gramStart"/>
      <w:r>
        <w:rPr>
          <w:rFonts w:ascii="仿宋" w:eastAsia="仿宋" w:hAnsi="仿宋" w:cs="宋体" w:hint="eastAsia"/>
          <w:kern w:val="0"/>
          <w:sz w:val="32"/>
          <w:szCs w:val="32"/>
        </w:rPr>
        <w:t>肄业</w:t>
      </w:r>
      <w:proofErr w:type="gramEnd"/>
      <w:r>
        <w:rPr>
          <w:rFonts w:ascii="仿宋" w:eastAsia="仿宋" w:hAnsi="仿宋" w:cs="宋体" w:hint="eastAsia"/>
          <w:kern w:val="0"/>
          <w:sz w:val="32"/>
          <w:szCs w:val="32"/>
        </w:rPr>
        <w:t>证书；在校学习时间少于一年的，只出具学生在校学习成绩单或证明。</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第五十二条 学生未办理退学手续擅自离校的，可不</w:t>
      </w:r>
      <w:proofErr w:type="gramStart"/>
      <w:r>
        <w:rPr>
          <w:rFonts w:ascii="仿宋" w:eastAsia="仿宋" w:hAnsi="仿宋" w:cs="宋体" w:hint="eastAsia"/>
          <w:kern w:val="0"/>
          <w:sz w:val="32"/>
          <w:szCs w:val="32"/>
        </w:rPr>
        <w:t>发任何</w:t>
      </w:r>
      <w:proofErr w:type="gramEnd"/>
      <w:r>
        <w:rPr>
          <w:rFonts w:ascii="仿宋" w:eastAsia="仿宋" w:hAnsi="仿宋" w:cs="宋体" w:hint="eastAsia"/>
          <w:kern w:val="0"/>
          <w:sz w:val="32"/>
          <w:szCs w:val="32"/>
        </w:rPr>
        <w:t>证明。</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第九章 学业证书管理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第五十三条 办学单位应当严格按照招生时确定的办学类型和学习形式，以及学生招生录取时填报的个人信息，填写、颁发学历证书及其他学业证书。</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学生在校期间变更姓名、出生日期等证书需填写的个人信息的，应当有合理、充分的理由，并提供有法定效力的相应证明文件，由办学单位进行审查，经学院审核后，报教育厅审批。</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第五十四条 学历证书审核工作由学院和办学单位共同负责，并执行高等教育学籍学历电子注册管理制度。</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第五十五条 对完成本专业学业同时辅修其他专业并达到该专业辅修要求的学生，可颁发辅修专业证书。</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第五十六条 对违反国家招生规定取得入学资格或者学籍的，办学单位应当取消其学籍，不得发给学历证书；已发的学历证书，办学单位应当及时上报，由学院依法予以撤销。对以作弊、剽窃、抄袭等学术不端行为或者其他不正当手段获得学历证书的，办学单位应当及时上报，由学院依法予以撤销。</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被撤销的学历证书已注册的，办学单位应当及时上报，由学院予以注销并报教育行政部门宣布无效。</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第五十七条 学历证书遗失或者损坏，经本人申请，办学单位核实，学院可出具相应的证明书。</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 xml:space="preserve">证明书与原证书具有同等效力。　</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lastRenderedPageBreak/>
        <w:t>第十章 学籍档案管理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第五十八条 学院对学生的学籍实行电子化管理，办学单位应当配套建立学生的纸质和电子学籍档案。学生毕业后，办学单位留存毕业生永久性相关纸质和电子档案。</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第五十九条 办学单位应当定期填写学籍材料，将学生的课程成绩、评语和学年综合素质评价结果以及休学、复学、转学、转专业、退学、开除等学籍变动情况记入《学籍卡》，并上报学院学生管理信息系统。《学籍卡》填写应做到字迹工整，栏目齐全，照片符合相关要求。</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第六十条 对学生的奖励、处理、处分及解除处分，办学单位应当真实完整地归入本校文书档案和学生本人档案。</w:t>
      </w:r>
    </w:p>
    <w:p w:rsidR="00EB3295" w:rsidRDefault="00372110">
      <w:pPr>
        <w:pStyle w:val="a9"/>
        <w:widowControl/>
        <w:adjustRightInd w:val="0"/>
        <w:snapToGrid w:val="0"/>
        <w:ind w:firstLine="640"/>
        <w:rPr>
          <w:rFonts w:ascii="宋体" w:eastAsia="宋体" w:hAnsi="宋体" w:cs="宋体"/>
          <w:kern w:val="0"/>
          <w:sz w:val="24"/>
          <w:szCs w:val="24"/>
        </w:rPr>
      </w:pPr>
      <w:r>
        <w:rPr>
          <w:rFonts w:ascii="仿宋" w:eastAsia="仿宋" w:hAnsi="仿宋" w:cs="宋体" w:hint="eastAsia"/>
          <w:kern w:val="0"/>
          <w:sz w:val="32"/>
          <w:szCs w:val="32"/>
        </w:rPr>
        <w:t>第六十一条 学生《学籍卡》《成绩表》《体检表》《奖惩决定》《毕业生登记表》等纸质学籍档案材料由所在办学单位保管。学生毕业、结业或退学时，由办学单位代表学院转至有关接收单位。</w:t>
      </w:r>
    </w:p>
    <w:p w:rsidR="00EB3295" w:rsidRDefault="00372110">
      <w:pPr>
        <w:widowControl/>
        <w:adjustRightInd w:val="0"/>
        <w:snapToGrid w:val="0"/>
        <w:spacing w:beforeLines="100" w:before="312" w:afterLines="100" w:after="312"/>
        <w:jc w:val="center"/>
        <w:rPr>
          <w:rFonts w:ascii="黑体" w:eastAsia="黑体" w:hAnsi="黑体" w:cs="黑体"/>
          <w:kern w:val="0"/>
          <w:sz w:val="32"/>
          <w:szCs w:val="32"/>
        </w:rPr>
      </w:pPr>
      <w:r>
        <w:rPr>
          <w:rFonts w:ascii="黑体" w:eastAsia="黑体" w:hAnsi="黑体" w:cs="黑体" w:hint="eastAsia"/>
          <w:kern w:val="0"/>
          <w:sz w:val="32"/>
          <w:szCs w:val="32"/>
        </w:rPr>
        <w:t>第十一章 附则</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第六十二条 本规定适用于所有办学单位。办学单位应根据本规定进一步制定相应的实施细则，并报学院备案。</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办学单位对接受高等学历继续教育的学生、港澳台侨学生、外籍学生的管理，参照本规定执行。</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第六十三条 本规定自</w:t>
      </w:r>
      <w:r>
        <w:rPr>
          <w:rFonts w:ascii="仿宋" w:eastAsia="仿宋" w:hAnsi="仿宋" w:cs="宋体" w:hint="eastAsia"/>
          <w:kern w:val="0"/>
          <w:sz w:val="32"/>
          <w:szCs w:val="32"/>
          <w:u w:val="single"/>
        </w:rPr>
        <w:t>2022年</w:t>
      </w:r>
      <w:r w:rsidR="007F645A">
        <w:rPr>
          <w:rFonts w:ascii="仿宋" w:eastAsia="仿宋" w:hAnsi="仿宋" w:cs="宋体" w:hint="eastAsia"/>
          <w:kern w:val="0"/>
          <w:sz w:val="32"/>
          <w:szCs w:val="32"/>
          <w:u w:val="single"/>
        </w:rPr>
        <w:t>5</w:t>
      </w:r>
      <w:r>
        <w:rPr>
          <w:rFonts w:ascii="仿宋" w:eastAsia="仿宋" w:hAnsi="仿宋" w:cs="宋体" w:hint="eastAsia"/>
          <w:kern w:val="0"/>
          <w:sz w:val="32"/>
          <w:szCs w:val="32"/>
          <w:u w:val="single"/>
        </w:rPr>
        <w:t>月</w:t>
      </w:r>
      <w:r w:rsidR="007F645A">
        <w:rPr>
          <w:rFonts w:ascii="仿宋" w:eastAsia="仿宋" w:hAnsi="仿宋" w:cs="宋体" w:hint="eastAsia"/>
          <w:kern w:val="0"/>
          <w:sz w:val="32"/>
          <w:szCs w:val="32"/>
          <w:u w:val="single"/>
        </w:rPr>
        <w:t>6</w:t>
      </w:r>
      <w:bookmarkStart w:id="0" w:name="_GoBack"/>
      <w:bookmarkEnd w:id="0"/>
      <w:r>
        <w:rPr>
          <w:rFonts w:ascii="仿宋" w:eastAsia="仿宋" w:hAnsi="仿宋" w:cs="宋体" w:hint="eastAsia"/>
          <w:kern w:val="0"/>
          <w:sz w:val="32"/>
          <w:szCs w:val="32"/>
          <w:u w:val="single"/>
        </w:rPr>
        <w:t>日</w:t>
      </w:r>
      <w:r>
        <w:rPr>
          <w:rFonts w:ascii="仿宋" w:eastAsia="仿宋" w:hAnsi="仿宋" w:cs="宋体" w:hint="eastAsia"/>
          <w:kern w:val="0"/>
          <w:sz w:val="32"/>
          <w:szCs w:val="32"/>
        </w:rPr>
        <w:t>起施行。原《江苏联合职业技术学院学生学籍管理规定》（苏联院学〔20</w:t>
      </w:r>
      <w:r>
        <w:rPr>
          <w:rFonts w:ascii="仿宋" w:eastAsia="仿宋" w:hAnsi="仿宋" w:cs="宋体"/>
          <w:kern w:val="0"/>
          <w:sz w:val="32"/>
          <w:szCs w:val="32"/>
        </w:rPr>
        <w:t>17</w:t>
      </w:r>
      <w:r>
        <w:rPr>
          <w:rFonts w:ascii="仿宋" w:eastAsia="仿宋" w:hAnsi="仿宋" w:cs="宋体" w:hint="eastAsia"/>
          <w:kern w:val="0"/>
          <w:sz w:val="32"/>
          <w:szCs w:val="32"/>
        </w:rPr>
        <w:t>〕</w:t>
      </w:r>
      <w:r>
        <w:rPr>
          <w:rFonts w:ascii="仿宋" w:eastAsia="仿宋" w:hAnsi="仿宋" w:cs="宋体"/>
          <w:kern w:val="0"/>
          <w:sz w:val="32"/>
          <w:szCs w:val="32"/>
        </w:rPr>
        <w:t>27</w:t>
      </w:r>
      <w:r>
        <w:rPr>
          <w:rFonts w:ascii="仿宋" w:eastAsia="仿宋" w:hAnsi="仿宋" w:cs="宋体" w:hint="eastAsia"/>
          <w:kern w:val="0"/>
          <w:sz w:val="32"/>
          <w:szCs w:val="32"/>
        </w:rPr>
        <w:t>号）同时废止。办学单位有关文件规定与本规定不一致的，以本规定为准。</w:t>
      </w:r>
    </w:p>
    <w:p w:rsidR="00EB3295" w:rsidRDefault="00372110">
      <w:pPr>
        <w:pStyle w:val="a9"/>
        <w:widowControl/>
        <w:adjustRightInd w:val="0"/>
        <w:snapToGrid w:val="0"/>
        <w:ind w:firstLine="640"/>
        <w:rPr>
          <w:rFonts w:ascii="仿宋" w:eastAsia="仿宋" w:hAnsi="仿宋" w:cs="宋体"/>
          <w:kern w:val="0"/>
          <w:sz w:val="32"/>
          <w:szCs w:val="32"/>
        </w:rPr>
      </w:pPr>
      <w:r>
        <w:rPr>
          <w:rFonts w:ascii="仿宋" w:eastAsia="仿宋" w:hAnsi="仿宋" w:cs="宋体" w:hint="eastAsia"/>
          <w:kern w:val="0"/>
          <w:sz w:val="32"/>
          <w:szCs w:val="32"/>
        </w:rPr>
        <w:t xml:space="preserve">第六十四条 </w:t>
      </w:r>
      <w:r w:rsidR="0056128A">
        <w:rPr>
          <w:rFonts w:ascii="仿宋" w:eastAsia="仿宋" w:hAnsi="仿宋" w:cs="宋体" w:hint="eastAsia"/>
          <w:kern w:val="0"/>
          <w:sz w:val="32"/>
          <w:szCs w:val="32"/>
        </w:rPr>
        <w:t>本规定由江苏联合职业技术学院负责解释</w:t>
      </w:r>
      <w:r>
        <w:rPr>
          <w:rFonts w:ascii="仿宋" w:eastAsia="仿宋" w:hAnsi="仿宋" w:cs="宋体" w:hint="eastAsia"/>
          <w:kern w:val="0"/>
          <w:sz w:val="32"/>
          <w:szCs w:val="32"/>
        </w:rPr>
        <w:t>。</w:t>
      </w:r>
    </w:p>
    <w:p w:rsidR="00EB3295" w:rsidRDefault="00EB3295">
      <w:pPr>
        <w:pStyle w:val="a9"/>
        <w:widowControl/>
        <w:adjustRightInd w:val="0"/>
        <w:snapToGrid w:val="0"/>
        <w:ind w:firstLine="640"/>
        <w:rPr>
          <w:rFonts w:ascii="仿宋" w:eastAsia="仿宋" w:hAnsi="仿宋" w:cs="宋体"/>
          <w:kern w:val="0"/>
          <w:sz w:val="32"/>
          <w:szCs w:val="32"/>
        </w:rPr>
      </w:pPr>
    </w:p>
    <w:p w:rsidR="00EB3295" w:rsidRDefault="00EB3295">
      <w:pPr>
        <w:pStyle w:val="a9"/>
        <w:widowControl/>
        <w:adjustRightInd w:val="0"/>
        <w:snapToGrid w:val="0"/>
        <w:ind w:firstLine="640"/>
        <w:jc w:val="left"/>
        <w:rPr>
          <w:rFonts w:ascii="仿宋" w:eastAsia="仿宋" w:hAnsi="仿宋" w:cs="宋体"/>
          <w:kern w:val="0"/>
          <w:sz w:val="32"/>
          <w:szCs w:val="32"/>
        </w:rPr>
      </w:pPr>
    </w:p>
    <w:p w:rsidR="00EB3295" w:rsidRDefault="00EB3295">
      <w:pPr>
        <w:pStyle w:val="a9"/>
        <w:widowControl/>
        <w:adjustRightInd w:val="0"/>
        <w:snapToGrid w:val="0"/>
        <w:ind w:firstLine="640"/>
        <w:jc w:val="left"/>
        <w:rPr>
          <w:rFonts w:ascii="仿宋" w:eastAsia="仿宋" w:hAnsi="仿宋" w:cs="宋体"/>
          <w:kern w:val="0"/>
          <w:sz w:val="32"/>
          <w:szCs w:val="32"/>
        </w:rPr>
      </w:pPr>
    </w:p>
    <w:p w:rsidR="00EB3295" w:rsidRDefault="00EB3295">
      <w:pPr>
        <w:pStyle w:val="a9"/>
        <w:widowControl/>
        <w:adjustRightInd w:val="0"/>
        <w:snapToGrid w:val="0"/>
        <w:ind w:firstLine="640"/>
        <w:jc w:val="left"/>
        <w:rPr>
          <w:rFonts w:ascii="仿宋" w:eastAsia="仿宋" w:hAnsi="仿宋" w:cs="宋体"/>
          <w:kern w:val="0"/>
          <w:sz w:val="32"/>
          <w:szCs w:val="32"/>
        </w:rPr>
      </w:pPr>
    </w:p>
    <w:p w:rsidR="00EB3295" w:rsidRDefault="00EB3295">
      <w:pPr>
        <w:pStyle w:val="a9"/>
        <w:widowControl/>
        <w:adjustRightInd w:val="0"/>
        <w:snapToGrid w:val="0"/>
        <w:ind w:firstLine="640"/>
        <w:jc w:val="left"/>
        <w:rPr>
          <w:rFonts w:ascii="仿宋" w:eastAsia="仿宋" w:hAnsi="仿宋" w:cs="宋体"/>
          <w:kern w:val="0"/>
          <w:sz w:val="32"/>
          <w:szCs w:val="32"/>
        </w:rPr>
      </w:pPr>
    </w:p>
    <w:p w:rsidR="00EB3295" w:rsidRDefault="00372110">
      <w:pPr>
        <w:pStyle w:val="a9"/>
        <w:widowControl/>
        <w:adjustRightInd w:val="0"/>
        <w:snapToGrid w:val="0"/>
        <w:ind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附件：1.江苏联合职业技术学院学生学籍卡</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2.江苏联合职业技术学院学籍异动备案表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3.江苏联合职业技术学院学生转学申请表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4.江苏联合职业技术学院学生转专业申请表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5.江苏联合职业技术学院学生休学申请表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6.江苏联合职业技术学院学生复学申请表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7.江苏联合职业技术学院学生退学申请表</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8.</w:t>
      </w:r>
      <w:r w:rsidRPr="001F351B">
        <w:rPr>
          <w:rFonts w:ascii="仿宋" w:eastAsia="仿宋" w:hAnsi="仿宋" w:cs="宋体" w:hint="eastAsia"/>
          <w:spacing w:val="-16"/>
          <w:kern w:val="0"/>
          <w:sz w:val="32"/>
          <w:szCs w:val="32"/>
        </w:rPr>
        <w:t>江苏联合职业技术学院</w:t>
      </w:r>
      <w:r w:rsidR="001F351B" w:rsidRPr="001F351B">
        <w:rPr>
          <w:rFonts w:ascii="仿宋" w:eastAsia="仿宋" w:hAnsi="仿宋" w:cs="宋体" w:hint="eastAsia"/>
          <w:spacing w:val="-16"/>
          <w:kern w:val="0"/>
          <w:sz w:val="32"/>
          <w:szCs w:val="32"/>
        </w:rPr>
        <w:t>学生</w:t>
      </w:r>
      <w:r w:rsidRPr="001F351B">
        <w:rPr>
          <w:rFonts w:ascii="仿宋" w:eastAsia="仿宋" w:hAnsi="仿宋" w:cs="宋体" w:hint="eastAsia"/>
          <w:spacing w:val="-16"/>
          <w:kern w:val="0"/>
          <w:sz w:val="32"/>
          <w:szCs w:val="32"/>
        </w:rPr>
        <w:t>休学和保留学籍通知书</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9.江苏联合职业技术学院保留入学资格通知书</w:t>
      </w:r>
    </w:p>
    <w:p w:rsidR="00EB3295" w:rsidRDefault="00372110">
      <w:pPr>
        <w:pStyle w:val="a9"/>
        <w:widowControl/>
        <w:adjustRightInd w:val="0"/>
        <w:snapToGrid w:val="0"/>
        <w:ind w:firstLineChars="500" w:firstLine="1600"/>
        <w:jc w:val="left"/>
        <w:rPr>
          <w:rFonts w:ascii="仿宋" w:eastAsia="仿宋" w:hAnsi="仿宋" w:cs="宋体"/>
          <w:kern w:val="0"/>
          <w:sz w:val="32"/>
          <w:szCs w:val="32"/>
        </w:rPr>
      </w:pPr>
      <w:r>
        <w:rPr>
          <w:rFonts w:ascii="仿宋" w:eastAsia="仿宋" w:hAnsi="仿宋" w:cs="宋体" w:hint="eastAsia"/>
          <w:kern w:val="0"/>
          <w:sz w:val="32"/>
          <w:szCs w:val="32"/>
        </w:rPr>
        <w:t>10.江苏联合职业技术学院学生退学决定书</w:t>
      </w:r>
    </w:p>
    <w:p w:rsidR="00EB3295" w:rsidRDefault="00EB3295">
      <w:pPr>
        <w:widowControl/>
        <w:adjustRightInd w:val="0"/>
        <w:snapToGrid w:val="0"/>
        <w:ind w:firstLineChars="131" w:firstLine="419"/>
        <w:jc w:val="left"/>
        <w:rPr>
          <w:rFonts w:ascii="仿宋" w:eastAsia="仿宋" w:hAnsi="仿宋" w:cs="宋体"/>
          <w:kern w:val="0"/>
          <w:sz w:val="32"/>
          <w:szCs w:val="32"/>
        </w:rPr>
      </w:pPr>
    </w:p>
    <w:sectPr w:rsidR="00EB3295" w:rsidSect="00C517AE">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59" w:rsidRDefault="007D3B59" w:rsidP="00C517AE">
      <w:r>
        <w:separator/>
      </w:r>
    </w:p>
  </w:endnote>
  <w:endnote w:type="continuationSeparator" w:id="0">
    <w:p w:rsidR="007D3B59" w:rsidRDefault="007D3B59" w:rsidP="00C5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070116"/>
      <w:docPartObj>
        <w:docPartGallery w:val="Page Numbers (Bottom of Page)"/>
        <w:docPartUnique/>
      </w:docPartObj>
    </w:sdtPr>
    <w:sdtEndPr>
      <w:rPr>
        <w:rFonts w:ascii="仿宋" w:eastAsia="仿宋" w:hAnsi="仿宋"/>
        <w:sz w:val="32"/>
        <w:szCs w:val="32"/>
      </w:rPr>
    </w:sdtEndPr>
    <w:sdtContent>
      <w:p w:rsidR="00C517AE" w:rsidRPr="00C517AE" w:rsidRDefault="00C517AE">
        <w:pPr>
          <w:pStyle w:val="a5"/>
          <w:rPr>
            <w:rFonts w:ascii="仿宋" w:eastAsia="仿宋" w:hAnsi="仿宋"/>
            <w:sz w:val="32"/>
            <w:szCs w:val="32"/>
          </w:rPr>
        </w:pPr>
        <w:r w:rsidRPr="00C517AE">
          <w:rPr>
            <w:rFonts w:ascii="仿宋" w:eastAsia="仿宋" w:hAnsi="仿宋"/>
            <w:sz w:val="32"/>
            <w:szCs w:val="32"/>
          </w:rPr>
          <w:fldChar w:fldCharType="begin"/>
        </w:r>
        <w:r w:rsidRPr="00C517AE">
          <w:rPr>
            <w:rFonts w:ascii="仿宋" w:eastAsia="仿宋" w:hAnsi="仿宋"/>
            <w:sz w:val="32"/>
            <w:szCs w:val="32"/>
          </w:rPr>
          <w:instrText>PAGE   \* MERGEFORMAT</w:instrText>
        </w:r>
        <w:r w:rsidRPr="00C517AE">
          <w:rPr>
            <w:rFonts w:ascii="仿宋" w:eastAsia="仿宋" w:hAnsi="仿宋"/>
            <w:sz w:val="32"/>
            <w:szCs w:val="32"/>
          </w:rPr>
          <w:fldChar w:fldCharType="separate"/>
        </w:r>
        <w:r w:rsidR="007F645A" w:rsidRPr="007F645A">
          <w:rPr>
            <w:rFonts w:ascii="仿宋" w:eastAsia="仿宋" w:hAnsi="仿宋"/>
            <w:noProof/>
            <w:sz w:val="32"/>
            <w:szCs w:val="32"/>
            <w:lang w:val="zh-CN"/>
          </w:rPr>
          <w:t>-</w:t>
        </w:r>
        <w:r w:rsidR="007F645A">
          <w:rPr>
            <w:rFonts w:ascii="仿宋" w:eastAsia="仿宋" w:hAnsi="仿宋"/>
            <w:noProof/>
            <w:sz w:val="32"/>
            <w:szCs w:val="32"/>
          </w:rPr>
          <w:t xml:space="preserve"> 12 -</w:t>
        </w:r>
        <w:r w:rsidRPr="00C517AE">
          <w:rPr>
            <w:rFonts w:ascii="仿宋" w:eastAsia="仿宋" w:hAnsi="仿宋"/>
            <w:sz w:val="32"/>
            <w:szCs w:val="32"/>
          </w:rPr>
          <w:fldChar w:fldCharType="end"/>
        </w:r>
      </w:p>
    </w:sdtContent>
  </w:sdt>
  <w:p w:rsidR="00C517AE" w:rsidRDefault="00C517A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269050"/>
      <w:docPartObj>
        <w:docPartGallery w:val="Page Numbers (Bottom of Page)"/>
        <w:docPartUnique/>
      </w:docPartObj>
    </w:sdtPr>
    <w:sdtEndPr>
      <w:rPr>
        <w:rFonts w:ascii="仿宋" w:eastAsia="仿宋" w:hAnsi="仿宋"/>
        <w:sz w:val="32"/>
        <w:szCs w:val="32"/>
      </w:rPr>
    </w:sdtEndPr>
    <w:sdtContent>
      <w:p w:rsidR="00C517AE" w:rsidRPr="00C517AE" w:rsidRDefault="00C517AE">
        <w:pPr>
          <w:pStyle w:val="a5"/>
          <w:jc w:val="right"/>
          <w:rPr>
            <w:rFonts w:ascii="仿宋" w:eastAsia="仿宋" w:hAnsi="仿宋"/>
            <w:sz w:val="32"/>
            <w:szCs w:val="32"/>
          </w:rPr>
        </w:pPr>
        <w:r w:rsidRPr="00C517AE">
          <w:rPr>
            <w:rFonts w:ascii="仿宋" w:eastAsia="仿宋" w:hAnsi="仿宋"/>
            <w:sz w:val="32"/>
            <w:szCs w:val="32"/>
          </w:rPr>
          <w:fldChar w:fldCharType="begin"/>
        </w:r>
        <w:r w:rsidRPr="00C517AE">
          <w:rPr>
            <w:rFonts w:ascii="仿宋" w:eastAsia="仿宋" w:hAnsi="仿宋"/>
            <w:sz w:val="32"/>
            <w:szCs w:val="32"/>
          </w:rPr>
          <w:instrText>PAGE   \* MERGEFORMAT</w:instrText>
        </w:r>
        <w:r w:rsidRPr="00C517AE">
          <w:rPr>
            <w:rFonts w:ascii="仿宋" w:eastAsia="仿宋" w:hAnsi="仿宋"/>
            <w:sz w:val="32"/>
            <w:szCs w:val="32"/>
          </w:rPr>
          <w:fldChar w:fldCharType="separate"/>
        </w:r>
        <w:r w:rsidR="007F645A" w:rsidRPr="007F645A">
          <w:rPr>
            <w:rFonts w:ascii="仿宋" w:eastAsia="仿宋" w:hAnsi="仿宋"/>
            <w:noProof/>
            <w:sz w:val="32"/>
            <w:szCs w:val="32"/>
            <w:lang w:val="zh-CN"/>
          </w:rPr>
          <w:t>-</w:t>
        </w:r>
        <w:r w:rsidR="007F645A">
          <w:rPr>
            <w:rFonts w:ascii="仿宋" w:eastAsia="仿宋" w:hAnsi="仿宋"/>
            <w:noProof/>
            <w:sz w:val="32"/>
            <w:szCs w:val="32"/>
          </w:rPr>
          <w:t xml:space="preserve"> 11 -</w:t>
        </w:r>
        <w:r w:rsidRPr="00C517AE">
          <w:rPr>
            <w:rFonts w:ascii="仿宋" w:eastAsia="仿宋" w:hAnsi="仿宋"/>
            <w:sz w:val="32"/>
            <w:szCs w:val="32"/>
          </w:rPr>
          <w:fldChar w:fldCharType="end"/>
        </w:r>
      </w:p>
    </w:sdtContent>
  </w:sdt>
  <w:p w:rsidR="00C517AE" w:rsidRDefault="00C517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59" w:rsidRDefault="007D3B59" w:rsidP="00C517AE">
      <w:r>
        <w:separator/>
      </w:r>
    </w:p>
  </w:footnote>
  <w:footnote w:type="continuationSeparator" w:id="0">
    <w:p w:rsidR="007D3B59" w:rsidRDefault="007D3B59" w:rsidP="00C51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F7"/>
    <w:rsid w:val="000174EC"/>
    <w:rsid w:val="000241A1"/>
    <w:rsid w:val="00053A7D"/>
    <w:rsid w:val="00065370"/>
    <w:rsid w:val="000720F7"/>
    <w:rsid w:val="000739C4"/>
    <w:rsid w:val="00073ADD"/>
    <w:rsid w:val="00077950"/>
    <w:rsid w:val="00093092"/>
    <w:rsid w:val="0009385A"/>
    <w:rsid w:val="00093FCD"/>
    <w:rsid w:val="000C1B56"/>
    <w:rsid w:val="000C54C0"/>
    <w:rsid w:val="000D499C"/>
    <w:rsid w:val="000E424F"/>
    <w:rsid w:val="000E52A7"/>
    <w:rsid w:val="000E5A73"/>
    <w:rsid w:val="000F3F02"/>
    <w:rsid w:val="00120547"/>
    <w:rsid w:val="00122C91"/>
    <w:rsid w:val="00135EBC"/>
    <w:rsid w:val="001470C7"/>
    <w:rsid w:val="00147B97"/>
    <w:rsid w:val="0019471E"/>
    <w:rsid w:val="001A08C3"/>
    <w:rsid w:val="001A2A0E"/>
    <w:rsid w:val="001B66D7"/>
    <w:rsid w:val="001C0171"/>
    <w:rsid w:val="001C43E2"/>
    <w:rsid w:val="001D12C4"/>
    <w:rsid w:val="001F351B"/>
    <w:rsid w:val="00202C2A"/>
    <w:rsid w:val="0021489F"/>
    <w:rsid w:val="00222DF1"/>
    <w:rsid w:val="002231F4"/>
    <w:rsid w:val="00223DCF"/>
    <w:rsid w:val="00227B8B"/>
    <w:rsid w:val="00253721"/>
    <w:rsid w:val="0026724F"/>
    <w:rsid w:val="00274D1F"/>
    <w:rsid w:val="002823AA"/>
    <w:rsid w:val="002D64A9"/>
    <w:rsid w:val="002E7555"/>
    <w:rsid w:val="003000E6"/>
    <w:rsid w:val="00310BD5"/>
    <w:rsid w:val="00312CB2"/>
    <w:rsid w:val="003354B8"/>
    <w:rsid w:val="00353E87"/>
    <w:rsid w:val="003565CB"/>
    <w:rsid w:val="003718BB"/>
    <w:rsid w:val="00372110"/>
    <w:rsid w:val="00377AA4"/>
    <w:rsid w:val="00386E5D"/>
    <w:rsid w:val="00393EA0"/>
    <w:rsid w:val="00396517"/>
    <w:rsid w:val="003A024B"/>
    <w:rsid w:val="003A69CA"/>
    <w:rsid w:val="003D2F4C"/>
    <w:rsid w:val="003D79F6"/>
    <w:rsid w:val="003E07C7"/>
    <w:rsid w:val="003E6F49"/>
    <w:rsid w:val="003F2CA8"/>
    <w:rsid w:val="00404FD1"/>
    <w:rsid w:val="00410151"/>
    <w:rsid w:val="00427BD1"/>
    <w:rsid w:val="00456A71"/>
    <w:rsid w:val="00461CFF"/>
    <w:rsid w:val="00464B8F"/>
    <w:rsid w:val="00466653"/>
    <w:rsid w:val="00471099"/>
    <w:rsid w:val="004C3BF7"/>
    <w:rsid w:val="004D0CC3"/>
    <w:rsid w:val="004D1CE6"/>
    <w:rsid w:val="004D7F05"/>
    <w:rsid w:val="004E6CFE"/>
    <w:rsid w:val="004F2589"/>
    <w:rsid w:val="00500E21"/>
    <w:rsid w:val="005262CB"/>
    <w:rsid w:val="00527AD5"/>
    <w:rsid w:val="0056128A"/>
    <w:rsid w:val="005757D4"/>
    <w:rsid w:val="0059030F"/>
    <w:rsid w:val="00595888"/>
    <w:rsid w:val="005D18FA"/>
    <w:rsid w:val="005E3656"/>
    <w:rsid w:val="005E400D"/>
    <w:rsid w:val="005E459A"/>
    <w:rsid w:val="00625FC4"/>
    <w:rsid w:val="00631436"/>
    <w:rsid w:val="006354CD"/>
    <w:rsid w:val="00637785"/>
    <w:rsid w:val="00637967"/>
    <w:rsid w:val="00644A78"/>
    <w:rsid w:val="00651597"/>
    <w:rsid w:val="0067505D"/>
    <w:rsid w:val="00686544"/>
    <w:rsid w:val="00690FB4"/>
    <w:rsid w:val="006C050E"/>
    <w:rsid w:val="006D69A5"/>
    <w:rsid w:val="006D7E2A"/>
    <w:rsid w:val="006E1459"/>
    <w:rsid w:val="00703916"/>
    <w:rsid w:val="00707227"/>
    <w:rsid w:val="0073217E"/>
    <w:rsid w:val="00732E0C"/>
    <w:rsid w:val="00737B70"/>
    <w:rsid w:val="00747DC3"/>
    <w:rsid w:val="007829DE"/>
    <w:rsid w:val="00790BD4"/>
    <w:rsid w:val="00793B28"/>
    <w:rsid w:val="007D3B59"/>
    <w:rsid w:val="007D6590"/>
    <w:rsid w:val="007E0306"/>
    <w:rsid w:val="007E1337"/>
    <w:rsid w:val="007F522C"/>
    <w:rsid w:val="007F645A"/>
    <w:rsid w:val="00806707"/>
    <w:rsid w:val="008134EF"/>
    <w:rsid w:val="00817E08"/>
    <w:rsid w:val="008448C6"/>
    <w:rsid w:val="00877EA8"/>
    <w:rsid w:val="00880AD9"/>
    <w:rsid w:val="0088392B"/>
    <w:rsid w:val="008C0F5A"/>
    <w:rsid w:val="00906299"/>
    <w:rsid w:val="00906D00"/>
    <w:rsid w:val="00921C5E"/>
    <w:rsid w:val="00935804"/>
    <w:rsid w:val="009359AD"/>
    <w:rsid w:val="00935C4F"/>
    <w:rsid w:val="00942364"/>
    <w:rsid w:val="00951E80"/>
    <w:rsid w:val="009549FB"/>
    <w:rsid w:val="009771BC"/>
    <w:rsid w:val="00981F35"/>
    <w:rsid w:val="00997BC7"/>
    <w:rsid w:val="009A453F"/>
    <w:rsid w:val="009B0F36"/>
    <w:rsid w:val="009B3FB3"/>
    <w:rsid w:val="009B7238"/>
    <w:rsid w:val="009C081B"/>
    <w:rsid w:val="009C33E4"/>
    <w:rsid w:val="009C36DB"/>
    <w:rsid w:val="009C3B6C"/>
    <w:rsid w:val="009D49A8"/>
    <w:rsid w:val="009E6089"/>
    <w:rsid w:val="009F06BD"/>
    <w:rsid w:val="00A01334"/>
    <w:rsid w:val="00A142B5"/>
    <w:rsid w:val="00A1615F"/>
    <w:rsid w:val="00A37E03"/>
    <w:rsid w:val="00A56719"/>
    <w:rsid w:val="00A6792A"/>
    <w:rsid w:val="00A77EBA"/>
    <w:rsid w:val="00AA2CAC"/>
    <w:rsid w:val="00AC33CB"/>
    <w:rsid w:val="00AC4C64"/>
    <w:rsid w:val="00AD45C2"/>
    <w:rsid w:val="00AE4C25"/>
    <w:rsid w:val="00AF4E14"/>
    <w:rsid w:val="00AF529A"/>
    <w:rsid w:val="00B00C29"/>
    <w:rsid w:val="00B37A58"/>
    <w:rsid w:val="00B45E35"/>
    <w:rsid w:val="00B4717B"/>
    <w:rsid w:val="00B84FEE"/>
    <w:rsid w:val="00B93399"/>
    <w:rsid w:val="00BA0562"/>
    <w:rsid w:val="00BE42CD"/>
    <w:rsid w:val="00BF015B"/>
    <w:rsid w:val="00BF3EE7"/>
    <w:rsid w:val="00C02B23"/>
    <w:rsid w:val="00C10013"/>
    <w:rsid w:val="00C2663F"/>
    <w:rsid w:val="00C32C14"/>
    <w:rsid w:val="00C44361"/>
    <w:rsid w:val="00C517AE"/>
    <w:rsid w:val="00C63CA0"/>
    <w:rsid w:val="00C758D7"/>
    <w:rsid w:val="00C8054C"/>
    <w:rsid w:val="00CB5448"/>
    <w:rsid w:val="00CC4602"/>
    <w:rsid w:val="00CC563C"/>
    <w:rsid w:val="00CD7033"/>
    <w:rsid w:val="00CF4696"/>
    <w:rsid w:val="00D00BF2"/>
    <w:rsid w:val="00D20C1E"/>
    <w:rsid w:val="00D229F7"/>
    <w:rsid w:val="00D33F20"/>
    <w:rsid w:val="00D441F6"/>
    <w:rsid w:val="00D4441F"/>
    <w:rsid w:val="00D51739"/>
    <w:rsid w:val="00D529F6"/>
    <w:rsid w:val="00D54E47"/>
    <w:rsid w:val="00D739E5"/>
    <w:rsid w:val="00D7488F"/>
    <w:rsid w:val="00D77694"/>
    <w:rsid w:val="00D830D5"/>
    <w:rsid w:val="00D862AC"/>
    <w:rsid w:val="00D97253"/>
    <w:rsid w:val="00DC13BE"/>
    <w:rsid w:val="00DD1805"/>
    <w:rsid w:val="00DE0005"/>
    <w:rsid w:val="00DE3A45"/>
    <w:rsid w:val="00E0330C"/>
    <w:rsid w:val="00E0747B"/>
    <w:rsid w:val="00E16E29"/>
    <w:rsid w:val="00E35620"/>
    <w:rsid w:val="00E47C84"/>
    <w:rsid w:val="00E63CBC"/>
    <w:rsid w:val="00E675E3"/>
    <w:rsid w:val="00E85EDB"/>
    <w:rsid w:val="00E91C5F"/>
    <w:rsid w:val="00EA029C"/>
    <w:rsid w:val="00EA1F38"/>
    <w:rsid w:val="00EB22BD"/>
    <w:rsid w:val="00EB3295"/>
    <w:rsid w:val="00EE4C75"/>
    <w:rsid w:val="00EE5D2E"/>
    <w:rsid w:val="00F079F4"/>
    <w:rsid w:val="00F139A9"/>
    <w:rsid w:val="00F1512D"/>
    <w:rsid w:val="00F465BB"/>
    <w:rsid w:val="00F46D4F"/>
    <w:rsid w:val="00F565D8"/>
    <w:rsid w:val="00F61B00"/>
    <w:rsid w:val="00F7330A"/>
    <w:rsid w:val="00F73E30"/>
    <w:rsid w:val="00F74C4E"/>
    <w:rsid w:val="00F824F1"/>
    <w:rsid w:val="00F851A5"/>
    <w:rsid w:val="00FA0B37"/>
    <w:rsid w:val="00FF47A9"/>
    <w:rsid w:val="00FF5AAC"/>
    <w:rsid w:val="01165292"/>
    <w:rsid w:val="01580C56"/>
    <w:rsid w:val="01B82438"/>
    <w:rsid w:val="01BE30B9"/>
    <w:rsid w:val="01E94966"/>
    <w:rsid w:val="01EC5B82"/>
    <w:rsid w:val="02000AC7"/>
    <w:rsid w:val="02183D60"/>
    <w:rsid w:val="02A91D81"/>
    <w:rsid w:val="02DB7CB9"/>
    <w:rsid w:val="02DD3740"/>
    <w:rsid w:val="031F2647"/>
    <w:rsid w:val="033D5049"/>
    <w:rsid w:val="047D1717"/>
    <w:rsid w:val="05946D18"/>
    <w:rsid w:val="059E5D45"/>
    <w:rsid w:val="05CA7B12"/>
    <w:rsid w:val="060A3E55"/>
    <w:rsid w:val="06103955"/>
    <w:rsid w:val="06151F6F"/>
    <w:rsid w:val="07082AF2"/>
    <w:rsid w:val="07E35D35"/>
    <w:rsid w:val="081F1402"/>
    <w:rsid w:val="0858402D"/>
    <w:rsid w:val="08766BA9"/>
    <w:rsid w:val="0A9D5BBD"/>
    <w:rsid w:val="0B352BA4"/>
    <w:rsid w:val="0BBC7BD9"/>
    <w:rsid w:val="0BF76F34"/>
    <w:rsid w:val="0CBF2834"/>
    <w:rsid w:val="0D0A440D"/>
    <w:rsid w:val="0D63067C"/>
    <w:rsid w:val="0DE8179F"/>
    <w:rsid w:val="0F385791"/>
    <w:rsid w:val="0F464CFE"/>
    <w:rsid w:val="0F985657"/>
    <w:rsid w:val="10BA1C86"/>
    <w:rsid w:val="10F01575"/>
    <w:rsid w:val="11191492"/>
    <w:rsid w:val="11464C09"/>
    <w:rsid w:val="122431D2"/>
    <w:rsid w:val="123A7859"/>
    <w:rsid w:val="129640D0"/>
    <w:rsid w:val="13B14366"/>
    <w:rsid w:val="13D86CA1"/>
    <w:rsid w:val="145F04F1"/>
    <w:rsid w:val="15FB249C"/>
    <w:rsid w:val="160D2F4F"/>
    <w:rsid w:val="161C11D2"/>
    <w:rsid w:val="168C1346"/>
    <w:rsid w:val="170D2487"/>
    <w:rsid w:val="174A7237"/>
    <w:rsid w:val="17C84F20"/>
    <w:rsid w:val="17CB154E"/>
    <w:rsid w:val="18624641"/>
    <w:rsid w:val="18946C67"/>
    <w:rsid w:val="18C054F1"/>
    <w:rsid w:val="19C154BB"/>
    <w:rsid w:val="1A5C26E5"/>
    <w:rsid w:val="1AB60E27"/>
    <w:rsid w:val="1AE03EC5"/>
    <w:rsid w:val="1B0439F4"/>
    <w:rsid w:val="1B3F0A39"/>
    <w:rsid w:val="1B8847D2"/>
    <w:rsid w:val="1B98309D"/>
    <w:rsid w:val="1C057C16"/>
    <w:rsid w:val="1C8D195D"/>
    <w:rsid w:val="1C9427E0"/>
    <w:rsid w:val="1D3D061B"/>
    <w:rsid w:val="1D6F6BEA"/>
    <w:rsid w:val="1DA76F7C"/>
    <w:rsid w:val="1EC93137"/>
    <w:rsid w:val="1F0112D9"/>
    <w:rsid w:val="1F0A7078"/>
    <w:rsid w:val="1F6F69F0"/>
    <w:rsid w:val="1F9C2C7C"/>
    <w:rsid w:val="202B114C"/>
    <w:rsid w:val="204D01CF"/>
    <w:rsid w:val="20530E97"/>
    <w:rsid w:val="206A514A"/>
    <w:rsid w:val="20960DAA"/>
    <w:rsid w:val="216C24A0"/>
    <w:rsid w:val="2178077E"/>
    <w:rsid w:val="21C362F8"/>
    <w:rsid w:val="2210479F"/>
    <w:rsid w:val="22AA14AB"/>
    <w:rsid w:val="22B04658"/>
    <w:rsid w:val="22CB3471"/>
    <w:rsid w:val="22CE2960"/>
    <w:rsid w:val="235651B5"/>
    <w:rsid w:val="24B31263"/>
    <w:rsid w:val="24C03D26"/>
    <w:rsid w:val="252217F3"/>
    <w:rsid w:val="254C7295"/>
    <w:rsid w:val="25C44658"/>
    <w:rsid w:val="260B6B5F"/>
    <w:rsid w:val="26146315"/>
    <w:rsid w:val="26507E13"/>
    <w:rsid w:val="265A78EC"/>
    <w:rsid w:val="2722776F"/>
    <w:rsid w:val="2727443D"/>
    <w:rsid w:val="279220C8"/>
    <w:rsid w:val="27CB4526"/>
    <w:rsid w:val="28287096"/>
    <w:rsid w:val="292875F4"/>
    <w:rsid w:val="293D6406"/>
    <w:rsid w:val="2A1D531D"/>
    <w:rsid w:val="2B3D46A1"/>
    <w:rsid w:val="2BBB0EF1"/>
    <w:rsid w:val="2C8A3614"/>
    <w:rsid w:val="2D235596"/>
    <w:rsid w:val="2D3D61DF"/>
    <w:rsid w:val="2E066EFC"/>
    <w:rsid w:val="2EDC7ABF"/>
    <w:rsid w:val="2EE50E7E"/>
    <w:rsid w:val="2EE9241E"/>
    <w:rsid w:val="2FA87BCF"/>
    <w:rsid w:val="2FA96A8C"/>
    <w:rsid w:val="2FAB0962"/>
    <w:rsid w:val="30094E07"/>
    <w:rsid w:val="30360848"/>
    <w:rsid w:val="30656A38"/>
    <w:rsid w:val="309C68FD"/>
    <w:rsid w:val="31016801"/>
    <w:rsid w:val="31077BF8"/>
    <w:rsid w:val="31586BFE"/>
    <w:rsid w:val="32042FF1"/>
    <w:rsid w:val="325615B7"/>
    <w:rsid w:val="328267A8"/>
    <w:rsid w:val="32AC094E"/>
    <w:rsid w:val="339A5269"/>
    <w:rsid w:val="33C9594E"/>
    <w:rsid w:val="33D457F0"/>
    <w:rsid w:val="341964B7"/>
    <w:rsid w:val="341D4C8F"/>
    <w:rsid w:val="34571EF7"/>
    <w:rsid w:val="34AB35B3"/>
    <w:rsid w:val="34CF6385"/>
    <w:rsid w:val="35313965"/>
    <w:rsid w:val="35D85B6E"/>
    <w:rsid w:val="364912B8"/>
    <w:rsid w:val="366B28CE"/>
    <w:rsid w:val="36B32A45"/>
    <w:rsid w:val="371F5B92"/>
    <w:rsid w:val="376B3E86"/>
    <w:rsid w:val="378D5BCE"/>
    <w:rsid w:val="37AB6152"/>
    <w:rsid w:val="37FF4CEF"/>
    <w:rsid w:val="387644A4"/>
    <w:rsid w:val="38824072"/>
    <w:rsid w:val="388D2A2F"/>
    <w:rsid w:val="39373743"/>
    <w:rsid w:val="39396CB4"/>
    <w:rsid w:val="398E0DAD"/>
    <w:rsid w:val="39A535E6"/>
    <w:rsid w:val="3A4A561C"/>
    <w:rsid w:val="3A5244D1"/>
    <w:rsid w:val="3AA67176"/>
    <w:rsid w:val="3AAE42C6"/>
    <w:rsid w:val="3B9F31FF"/>
    <w:rsid w:val="3BAD419C"/>
    <w:rsid w:val="3C0C6B88"/>
    <w:rsid w:val="3C7F62A4"/>
    <w:rsid w:val="3C943841"/>
    <w:rsid w:val="3DD1570D"/>
    <w:rsid w:val="3DFC6C2D"/>
    <w:rsid w:val="3EE66448"/>
    <w:rsid w:val="3F5A2C59"/>
    <w:rsid w:val="407B22C9"/>
    <w:rsid w:val="40BA0DD4"/>
    <w:rsid w:val="40E61E98"/>
    <w:rsid w:val="41283463"/>
    <w:rsid w:val="41623CA1"/>
    <w:rsid w:val="41A63953"/>
    <w:rsid w:val="41C5600B"/>
    <w:rsid w:val="420931F0"/>
    <w:rsid w:val="42836415"/>
    <w:rsid w:val="43050073"/>
    <w:rsid w:val="430A3B9B"/>
    <w:rsid w:val="43763E85"/>
    <w:rsid w:val="457E3EA9"/>
    <w:rsid w:val="4669560C"/>
    <w:rsid w:val="46BB015A"/>
    <w:rsid w:val="46F73319"/>
    <w:rsid w:val="47137845"/>
    <w:rsid w:val="483229CA"/>
    <w:rsid w:val="48385910"/>
    <w:rsid w:val="485F0C2F"/>
    <w:rsid w:val="499C12C5"/>
    <w:rsid w:val="4A0E0891"/>
    <w:rsid w:val="4A0E4E12"/>
    <w:rsid w:val="4AA83FBD"/>
    <w:rsid w:val="4B5D24BB"/>
    <w:rsid w:val="4B6A369F"/>
    <w:rsid w:val="4B7D79C6"/>
    <w:rsid w:val="4BA81F53"/>
    <w:rsid w:val="4BF0215C"/>
    <w:rsid w:val="4C1415E6"/>
    <w:rsid w:val="4CB70A84"/>
    <w:rsid w:val="4DD70FFB"/>
    <w:rsid w:val="4E4D2A0C"/>
    <w:rsid w:val="4E834801"/>
    <w:rsid w:val="4EF32F95"/>
    <w:rsid w:val="4F3834CE"/>
    <w:rsid w:val="4F4929CB"/>
    <w:rsid w:val="4F532965"/>
    <w:rsid w:val="4F6A0F6C"/>
    <w:rsid w:val="50926B99"/>
    <w:rsid w:val="511C1664"/>
    <w:rsid w:val="512322CB"/>
    <w:rsid w:val="5176189C"/>
    <w:rsid w:val="51870AAC"/>
    <w:rsid w:val="51DA038A"/>
    <w:rsid w:val="522E51D4"/>
    <w:rsid w:val="52524C16"/>
    <w:rsid w:val="52650D16"/>
    <w:rsid w:val="527A1C63"/>
    <w:rsid w:val="52927709"/>
    <w:rsid w:val="52CD2F22"/>
    <w:rsid w:val="52CF13DD"/>
    <w:rsid w:val="537A5B1B"/>
    <w:rsid w:val="53A2099E"/>
    <w:rsid w:val="542E417C"/>
    <w:rsid w:val="54F76B47"/>
    <w:rsid w:val="557C2F63"/>
    <w:rsid w:val="557E1708"/>
    <w:rsid w:val="55FC3EE1"/>
    <w:rsid w:val="565B5EFD"/>
    <w:rsid w:val="56CB7685"/>
    <w:rsid w:val="575B0FEC"/>
    <w:rsid w:val="575E5672"/>
    <w:rsid w:val="584055CE"/>
    <w:rsid w:val="584532CD"/>
    <w:rsid w:val="5853793A"/>
    <w:rsid w:val="58C232F4"/>
    <w:rsid w:val="5942183E"/>
    <w:rsid w:val="597F3F4B"/>
    <w:rsid w:val="599B48CE"/>
    <w:rsid w:val="5A753B98"/>
    <w:rsid w:val="5A7975C3"/>
    <w:rsid w:val="5AAC53B0"/>
    <w:rsid w:val="5B106CEA"/>
    <w:rsid w:val="5B562EDC"/>
    <w:rsid w:val="5BC7745A"/>
    <w:rsid w:val="5BD34B8C"/>
    <w:rsid w:val="5C2A09B2"/>
    <w:rsid w:val="5C32729E"/>
    <w:rsid w:val="5C652969"/>
    <w:rsid w:val="5CA52725"/>
    <w:rsid w:val="5CB47963"/>
    <w:rsid w:val="5D1321A4"/>
    <w:rsid w:val="5D3C274B"/>
    <w:rsid w:val="5D3F223B"/>
    <w:rsid w:val="5D5E7EF5"/>
    <w:rsid w:val="5DAC6F97"/>
    <w:rsid w:val="5DCC2922"/>
    <w:rsid w:val="5E104ACE"/>
    <w:rsid w:val="5E610C5B"/>
    <w:rsid w:val="5E850BA9"/>
    <w:rsid w:val="5EC450EE"/>
    <w:rsid w:val="5FAF36A8"/>
    <w:rsid w:val="60164F14"/>
    <w:rsid w:val="60213E7A"/>
    <w:rsid w:val="60B678EC"/>
    <w:rsid w:val="60CF66AE"/>
    <w:rsid w:val="60EC7A06"/>
    <w:rsid w:val="61B11971"/>
    <w:rsid w:val="61E64C09"/>
    <w:rsid w:val="623616DF"/>
    <w:rsid w:val="629923ED"/>
    <w:rsid w:val="62B66AFB"/>
    <w:rsid w:val="62CE18BE"/>
    <w:rsid w:val="631964D8"/>
    <w:rsid w:val="635D010D"/>
    <w:rsid w:val="63AE3C76"/>
    <w:rsid w:val="63EE70E8"/>
    <w:rsid w:val="644558EC"/>
    <w:rsid w:val="649E5DBF"/>
    <w:rsid w:val="654B1735"/>
    <w:rsid w:val="65B5534A"/>
    <w:rsid w:val="65BF30A9"/>
    <w:rsid w:val="668E3573"/>
    <w:rsid w:val="66BE2423"/>
    <w:rsid w:val="672A7AB8"/>
    <w:rsid w:val="67764D21"/>
    <w:rsid w:val="67DF4D46"/>
    <w:rsid w:val="68441D23"/>
    <w:rsid w:val="68832D1A"/>
    <w:rsid w:val="6ABC311D"/>
    <w:rsid w:val="6ABC7431"/>
    <w:rsid w:val="6B882FFF"/>
    <w:rsid w:val="6BC97147"/>
    <w:rsid w:val="6BDA17AD"/>
    <w:rsid w:val="6C6948E3"/>
    <w:rsid w:val="6D8819DC"/>
    <w:rsid w:val="6D9F4F01"/>
    <w:rsid w:val="6E1141A4"/>
    <w:rsid w:val="6F0A08FB"/>
    <w:rsid w:val="6F24607A"/>
    <w:rsid w:val="6F3F26FA"/>
    <w:rsid w:val="6F540E72"/>
    <w:rsid w:val="6F76453C"/>
    <w:rsid w:val="6FF559D2"/>
    <w:rsid w:val="6FFB3DA3"/>
    <w:rsid w:val="70335C2F"/>
    <w:rsid w:val="70922E42"/>
    <w:rsid w:val="71664504"/>
    <w:rsid w:val="71BA136B"/>
    <w:rsid w:val="728E6587"/>
    <w:rsid w:val="73160457"/>
    <w:rsid w:val="73856C58"/>
    <w:rsid w:val="73B30D9F"/>
    <w:rsid w:val="73D72D76"/>
    <w:rsid w:val="73FF3FC0"/>
    <w:rsid w:val="74930086"/>
    <w:rsid w:val="75196CDC"/>
    <w:rsid w:val="75B3511C"/>
    <w:rsid w:val="761F17AF"/>
    <w:rsid w:val="775C0B8E"/>
    <w:rsid w:val="77640639"/>
    <w:rsid w:val="77691E44"/>
    <w:rsid w:val="77B82769"/>
    <w:rsid w:val="77F32248"/>
    <w:rsid w:val="78237D1B"/>
    <w:rsid w:val="78C77346"/>
    <w:rsid w:val="79017606"/>
    <w:rsid w:val="790C34C1"/>
    <w:rsid w:val="79A10062"/>
    <w:rsid w:val="7AB40EEF"/>
    <w:rsid w:val="7ACD0A2E"/>
    <w:rsid w:val="7B573AE1"/>
    <w:rsid w:val="7B600A4B"/>
    <w:rsid w:val="7B99015F"/>
    <w:rsid w:val="7BA936B9"/>
    <w:rsid w:val="7BD31E71"/>
    <w:rsid w:val="7C706380"/>
    <w:rsid w:val="7D355FD2"/>
    <w:rsid w:val="7D3A23FC"/>
    <w:rsid w:val="7D9A5540"/>
    <w:rsid w:val="7DA51F79"/>
    <w:rsid w:val="7DFD64B4"/>
    <w:rsid w:val="7E045BEE"/>
    <w:rsid w:val="7E2529F7"/>
    <w:rsid w:val="7F0341E6"/>
    <w:rsid w:val="7F0A2251"/>
    <w:rsid w:val="7F3D43D5"/>
    <w:rsid w:val="7F461987"/>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A5B2D-A59D-4D98-A2DA-44938391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1097</Words>
  <Characters>6256</Characters>
  <Application>Microsoft Office Word</Application>
  <DocSecurity>0</DocSecurity>
  <Lines>52</Lines>
  <Paragraphs>14</Paragraphs>
  <ScaleCrop>false</ScaleCrop>
  <Company>Microsoft</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nsq</dc:creator>
  <cp:lastModifiedBy>xsglc</cp:lastModifiedBy>
  <cp:revision>179</cp:revision>
  <cp:lastPrinted>2022-05-05T01:49:00Z</cp:lastPrinted>
  <dcterms:created xsi:type="dcterms:W3CDTF">2021-11-30T04:05:00Z</dcterms:created>
  <dcterms:modified xsi:type="dcterms:W3CDTF">2022-05-09T08:49:00Z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F56CD55ACF02473CB47917C7D0147E8B</vt:lpwstr>
  </property>
</Properties>
</file>