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spacing w:before="120" w:beforeLines="50"/>
        <w:jc w:val="center"/>
        <w:rPr>
          <w:rFonts w:ascii="Times New Roman" w:hAnsi="Times New Roman" w:eastAsia="方正小标宋简体" w:cs="方正小标宋简体"/>
          <w:sz w:val="40"/>
          <w:szCs w:val="40"/>
          <w:highlight w:val="none"/>
        </w:rPr>
      </w:pPr>
      <w:r>
        <w:rPr>
          <w:rFonts w:hint="eastAsia" w:ascii="Times New Roman" w:hAnsi="Times New Roman" w:eastAsia="方正小标宋简体" w:cs="方正小标宋简体"/>
          <w:sz w:val="40"/>
          <w:szCs w:val="40"/>
          <w:highlight w:val="none"/>
        </w:rPr>
        <w:t>江苏联合职业技术学院无锡交通分院</w:t>
      </w:r>
    </w:p>
    <w:p>
      <w:pPr>
        <w:spacing w:before="120" w:beforeLines="50"/>
        <w:jc w:val="center"/>
        <w:rPr>
          <w:rFonts w:ascii="方正小标宋_GBK" w:hAnsi="Times New Roman" w:eastAsia="方正小标宋_GBK" w:cs="方正小标宋简体"/>
          <w:sz w:val="60"/>
          <w:szCs w:val="60"/>
          <w:highlight w:val="none"/>
        </w:rPr>
      </w:pPr>
      <w:r>
        <w:rPr>
          <w:rFonts w:hint="eastAsia" w:ascii="方正小标宋_GBK" w:hAnsi="Times New Roman" w:eastAsia="方正小标宋_GBK" w:cs="方正小标宋简体"/>
          <w:sz w:val="60"/>
          <w:szCs w:val="60"/>
          <w:highlight w:val="none"/>
        </w:rPr>
        <w:t>实施性人才培养方案</w:t>
      </w:r>
    </w:p>
    <w:p>
      <w:pPr>
        <w:overflowPunct w:val="0"/>
        <w:jc w:val="center"/>
        <w:rPr>
          <w:rFonts w:ascii="Times New Roman" w:hAnsi="Times New Roman" w:eastAsia="方正小标宋简体" w:cs="方正小标宋简体"/>
          <w:sz w:val="40"/>
          <w:szCs w:val="40"/>
          <w:highlight w:val="none"/>
        </w:rPr>
      </w:pPr>
    </w:p>
    <w:p>
      <w:pPr>
        <w:pStyle w:val="4"/>
        <w:ind w:firstLine="400"/>
        <w:rPr>
          <w:highlight w:val="none"/>
        </w:rPr>
      </w:pPr>
    </w:p>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tbl>
      <w:tblPr>
        <w:tblStyle w:val="13"/>
        <w:tblpPr w:leftFromText="180" w:rightFromText="180" w:vertAnchor="text" w:horzAnchor="page" w:tblpXSpec="center" w:tblpY="44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7"/>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学  制：</w:t>
            </w:r>
          </w:p>
        </w:tc>
        <w:tc>
          <w:tcPr>
            <w:tcW w:w="4261" w:type="dxa"/>
            <w:tcBorders>
              <w:bottom w:val="single" w:color="auto" w:sz="4" w:space="0"/>
            </w:tcBorders>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五年制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专业名称：</w:t>
            </w:r>
          </w:p>
        </w:tc>
        <w:tc>
          <w:tcPr>
            <w:tcW w:w="4261" w:type="dxa"/>
            <w:tcBorders>
              <w:top w:val="single" w:color="auto" w:sz="4" w:space="0"/>
              <w:bottom w:val="single" w:color="auto" w:sz="4" w:space="0"/>
            </w:tcBorders>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数控技术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专业代码：</w:t>
            </w:r>
          </w:p>
        </w:tc>
        <w:tc>
          <w:tcPr>
            <w:tcW w:w="4261" w:type="dxa"/>
            <w:tcBorders>
              <w:top w:val="single" w:color="auto" w:sz="4" w:space="0"/>
              <w:bottom w:val="single" w:color="auto" w:sz="4" w:space="0"/>
            </w:tcBorders>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460103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年  级：</w:t>
            </w:r>
          </w:p>
        </w:tc>
        <w:tc>
          <w:tcPr>
            <w:tcW w:w="4261" w:type="dxa"/>
            <w:tcBorders>
              <w:top w:val="single" w:color="auto" w:sz="4" w:space="0"/>
              <w:bottom w:val="single" w:color="auto" w:sz="4" w:space="0"/>
            </w:tcBorders>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2023级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制订日期：</w:t>
            </w:r>
          </w:p>
        </w:tc>
        <w:tc>
          <w:tcPr>
            <w:tcW w:w="4261" w:type="dxa"/>
            <w:tcBorders>
              <w:top w:val="single" w:color="auto" w:sz="4" w:space="0"/>
              <w:bottom w:val="single" w:color="auto" w:sz="4" w:space="0"/>
            </w:tcBorders>
            <w:vAlign w:val="bottom"/>
          </w:tcPr>
          <w:p>
            <w:pPr>
              <w:pStyle w:val="4"/>
              <w:ind w:firstLine="0" w:firstLineChars="0"/>
              <w:jc w:val="center"/>
              <w:rPr>
                <w:rFonts w:eastAsia="方正小标宋简体" w:cs="方正小标宋简体"/>
                <w:sz w:val="32"/>
                <w:szCs w:val="32"/>
                <w:highlight w:val="none"/>
              </w:rPr>
            </w:pPr>
            <w:r>
              <w:rPr>
                <w:rFonts w:hint="eastAsia" w:eastAsia="方正小标宋简体" w:cs="方正小标宋简体"/>
                <w:sz w:val="32"/>
                <w:szCs w:val="32"/>
                <w:highlight w:val="none"/>
              </w:rPr>
              <w:t>2023年8月</w:t>
            </w:r>
          </w:p>
        </w:tc>
      </w:tr>
    </w:tbl>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800"/>
        <w:jc w:val="center"/>
        <w:rPr>
          <w:rFonts w:eastAsia="方正小标宋简体" w:cs="方正小标宋简体"/>
          <w:sz w:val="40"/>
          <w:szCs w:val="40"/>
          <w:highlight w:val="none"/>
        </w:rPr>
      </w:pPr>
    </w:p>
    <w:p>
      <w:pPr>
        <w:pStyle w:val="4"/>
        <w:ind w:firstLine="0" w:firstLineChars="0"/>
        <w:jc w:val="center"/>
        <w:rPr>
          <w:rFonts w:eastAsia="方正小标宋简体" w:cs="方正小标宋简体"/>
          <w:sz w:val="40"/>
          <w:szCs w:val="40"/>
          <w:highlight w:val="none"/>
        </w:rPr>
      </w:pPr>
    </w:p>
    <w:p>
      <w:pPr>
        <w:pStyle w:val="4"/>
        <w:ind w:firstLine="800"/>
        <w:rPr>
          <w:rFonts w:eastAsia="方正小标宋简体" w:cs="方正小标宋简体"/>
          <w:sz w:val="40"/>
          <w:szCs w:val="40"/>
          <w:highlight w:val="none"/>
        </w:rPr>
        <w:sectPr>
          <w:pgSz w:w="11906" w:h="16838"/>
          <w:pgMar w:top="1440" w:right="1800" w:bottom="1440" w:left="1800" w:header="851" w:footer="992" w:gutter="0"/>
          <w:pgNumType w:fmt="upperRoman" w:start="1"/>
          <w:cols w:space="0" w:num="1"/>
          <w:docGrid w:linePitch="312" w:charSpace="0"/>
        </w:sectPr>
      </w:pPr>
    </w:p>
    <w:sdt>
      <w:sdtPr>
        <w:rPr>
          <w:rFonts w:ascii="宋体" w:hAnsi="宋体" w:eastAsia="宋体"/>
          <w:kern w:val="0"/>
          <w:sz w:val="21"/>
          <w:highlight w:val="none"/>
        </w:rPr>
        <w:id w:val="147454385"/>
        <w:docPartObj>
          <w:docPartGallery w:val="Table of Contents"/>
          <w:docPartUnique/>
        </w:docPartObj>
      </w:sdtPr>
      <w:sdtEndPr>
        <w:rPr>
          <w:rFonts w:asciiTheme="minorEastAsia" w:hAnsiTheme="minorEastAsia" w:eastAsiaTheme="minorEastAsia"/>
          <w:kern w:val="0"/>
          <w:sz w:val="24"/>
          <w:szCs w:val="24"/>
          <w:highlight w:val="none"/>
        </w:rPr>
      </w:sdtEndPr>
      <w:sdtContent>
        <w:p>
          <w:pPr>
            <w:spacing w:line="276" w:lineRule="auto"/>
            <w:jc w:val="center"/>
            <w:rPr>
              <w:rFonts w:ascii="黑体" w:hAnsi="黑体" w:eastAsia="黑体" w:cs="方正小标宋简体"/>
              <w:sz w:val="36"/>
              <w:szCs w:val="36"/>
              <w:highlight w:val="none"/>
            </w:rPr>
          </w:pPr>
          <w:r>
            <w:rPr>
              <w:rFonts w:hint="eastAsia" w:ascii="黑体" w:hAnsi="黑体" w:eastAsia="黑体" w:cs="方正小标宋简体"/>
              <w:szCs w:val="32"/>
              <w:highlight w:val="none"/>
            </w:rPr>
            <w:t>目  录</w:t>
          </w:r>
        </w:p>
        <w:p>
          <w:pPr>
            <w:pStyle w:val="9"/>
            <w:tabs>
              <w:tab w:val="right" w:leader="dot" w:pos="8306"/>
            </w:tabs>
          </w:pPr>
          <w:r>
            <w:rPr>
              <w:rFonts w:asciiTheme="minorEastAsia" w:hAnsiTheme="minorEastAsia" w:eastAsiaTheme="minorEastAsia"/>
              <w:sz w:val="28"/>
              <w:szCs w:val="28"/>
              <w:highlight w:val="none"/>
            </w:rPr>
            <w:fldChar w:fldCharType="begin"/>
          </w:r>
          <w:r>
            <w:rPr>
              <w:rFonts w:asciiTheme="minorEastAsia" w:hAnsiTheme="minorEastAsia" w:eastAsiaTheme="minorEastAsia"/>
              <w:sz w:val="28"/>
              <w:szCs w:val="28"/>
              <w:highlight w:val="none"/>
            </w:rPr>
            <w:instrText xml:space="preserve">TOC \o "1-3" \h \u </w:instrText>
          </w:r>
          <w:r>
            <w:rPr>
              <w:rFonts w:asciiTheme="minorEastAsia" w:hAnsiTheme="minorEastAsia" w:eastAsiaTheme="minorEastAsia"/>
              <w:sz w:val="28"/>
              <w:szCs w:val="28"/>
              <w:highlight w:val="none"/>
            </w:rPr>
            <w:fldChar w:fldCharType="separate"/>
          </w: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_Toc23297 </w:instrText>
          </w:r>
          <w:r>
            <w:rPr>
              <w:rFonts w:asciiTheme="minorEastAsia" w:hAnsiTheme="minorEastAsia" w:eastAsiaTheme="minorEastAsia"/>
              <w:szCs w:val="28"/>
              <w:highlight w:val="none"/>
            </w:rPr>
            <w:fldChar w:fldCharType="separate"/>
          </w:r>
          <w:r>
            <w:rPr>
              <w:rFonts w:hint="eastAsia"/>
              <w:bCs w:val="0"/>
              <w:szCs w:val="28"/>
              <w:highlight w:val="none"/>
            </w:rPr>
            <w:t>一、专业名称及代码</w:t>
          </w:r>
          <w:r>
            <w:tab/>
          </w:r>
          <w:r>
            <w:fldChar w:fldCharType="begin"/>
          </w:r>
          <w:r>
            <w:instrText xml:space="preserve"> PAGEREF _Toc23297 \h </w:instrText>
          </w:r>
          <w:r>
            <w:fldChar w:fldCharType="separate"/>
          </w:r>
          <w:r>
            <w:t>1</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_Toc1925 </w:instrText>
          </w:r>
          <w:r>
            <w:rPr>
              <w:rFonts w:asciiTheme="minorEastAsia" w:hAnsiTheme="minorEastAsia" w:eastAsiaTheme="minorEastAsia"/>
              <w:szCs w:val="28"/>
              <w:highlight w:val="none"/>
            </w:rPr>
            <w:fldChar w:fldCharType="separate"/>
          </w:r>
          <w:r>
            <w:rPr>
              <w:rFonts w:hint="eastAsia"/>
              <w:bCs w:val="0"/>
              <w:szCs w:val="28"/>
              <w:highlight w:val="none"/>
            </w:rPr>
            <w:t>二、入学要求</w:t>
          </w:r>
          <w:r>
            <w:tab/>
          </w:r>
          <w:r>
            <w:fldChar w:fldCharType="begin"/>
          </w:r>
          <w:r>
            <w:instrText xml:space="preserve"> PAGEREF _Toc1925 \h </w:instrText>
          </w:r>
          <w:r>
            <w:fldChar w:fldCharType="separate"/>
          </w:r>
          <w:r>
            <w:t>1</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_Toc8788 </w:instrText>
          </w:r>
          <w:r>
            <w:rPr>
              <w:rFonts w:asciiTheme="minorEastAsia" w:hAnsiTheme="minorEastAsia" w:eastAsiaTheme="minorEastAsia"/>
              <w:szCs w:val="28"/>
              <w:highlight w:val="none"/>
            </w:rPr>
            <w:fldChar w:fldCharType="separate"/>
          </w:r>
          <w:r>
            <w:rPr>
              <w:rFonts w:hint="eastAsia"/>
              <w:bCs w:val="0"/>
              <w:szCs w:val="28"/>
              <w:highlight w:val="none"/>
            </w:rPr>
            <w:t>三、基本修业年限</w:t>
          </w:r>
          <w:r>
            <w:tab/>
          </w:r>
          <w:r>
            <w:fldChar w:fldCharType="begin"/>
          </w:r>
          <w:r>
            <w:instrText xml:space="preserve"> PAGEREF _Toc8788 \h </w:instrText>
          </w:r>
          <w:r>
            <w:fldChar w:fldCharType="separate"/>
          </w:r>
          <w:r>
            <w:t>1</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_Toc3393 </w:instrText>
          </w:r>
          <w:r>
            <w:rPr>
              <w:rFonts w:asciiTheme="minorEastAsia" w:hAnsiTheme="minorEastAsia" w:eastAsiaTheme="minorEastAsia"/>
              <w:szCs w:val="28"/>
              <w:highlight w:val="none"/>
            </w:rPr>
            <w:fldChar w:fldCharType="separate"/>
          </w:r>
          <w:r>
            <w:rPr>
              <w:rFonts w:hint="eastAsia"/>
              <w:bCs w:val="0"/>
              <w:szCs w:val="28"/>
              <w:highlight w:val="none"/>
            </w:rPr>
            <w:t>四、职业面向</w:t>
          </w:r>
          <w:r>
            <w:tab/>
          </w:r>
          <w:r>
            <w:fldChar w:fldCharType="begin"/>
          </w:r>
          <w:r>
            <w:instrText xml:space="preserve"> PAGEREF _Toc3393 \h </w:instrText>
          </w:r>
          <w:r>
            <w:fldChar w:fldCharType="separate"/>
          </w:r>
          <w:r>
            <w:t>1</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_Toc1306 </w:instrText>
          </w:r>
          <w:r>
            <w:rPr>
              <w:rFonts w:asciiTheme="minorEastAsia" w:hAnsiTheme="minorEastAsia" w:eastAsiaTheme="minorEastAsia"/>
              <w:szCs w:val="28"/>
              <w:highlight w:val="none"/>
            </w:rPr>
            <w:fldChar w:fldCharType="separate"/>
          </w:r>
          <w:r>
            <w:rPr>
              <w:rFonts w:hint="eastAsia"/>
              <w:bCs w:val="0"/>
              <w:szCs w:val="28"/>
              <w:highlight w:val="none"/>
            </w:rPr>
            <w:t>五、培养目标</w:t>
          </w:r>
          <w:r>
            <w:tab/>
          </w:r>
          <w:r>
            <w:fldChar w:fldCharType="begin"/>
          </w:r>
          <w:r>
            <w:instrText xml:space="preserve"> PAGEREF _Toc1306 \h </w:instrText>
          </w:r>
          <w:r>
            <w:fldChar w:fldCharType="separate"/>
          </w:r>
          <w:r>
            <w:t>1</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_Toc29602 </w:instrText>
          </w:r>
          <w:r>
            <w:rPr>
              <w:rFonts w:asciiTheme="minorEastAsia" w:hAnsiTheme="minorEastAsia" w:eastAsiaTheme="minorEastAsia"/>
              <w:szCs w:val="28"/>
              <w:highlight w:val="none"/>
            </w:rPr>
            <w:fldChar w:fldCharType="separate"/>
          </w:r>
          <w:r>
            <w:rPr>
              <w:rFonts w:hint="eastAsia"/>
              <w:bCs w:val="0"/>
              <w:szCs w:val="28"/>
              <w:highlight w:val="none"/>
            </w:rPr>
            <w:t>六、培养规格</w:t>
          </w:r>
          <w:r>
            <w:tab/>
          </w:r>
          <w:r>
            <w:fldChar w:fldCharType="begin"/>
          </w:r>
          <w:r>
            <w:instrText xml:space="preserve"> PAGEREF _Toc29602 \h </w:instrText>
          </w:r>
          <w:r>
            <w:fldChar w:fldCharType="separate"/>
          </w:r>
          <w:r>
            <w:t>2</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_Toc26116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（一）素质</w:t>
          </w:r>
          <w:r>
            <w:tab/>
          </w:r>
          <w:r>
            <w:fldChar w:fldCharType="begin"/>
          </w:r>
          <w:r>
            <w:instrText xml:space="preserve"> PAGEREF _Toc26116 \h </w:instrText>
          </w:r>
          <w:r>
            <w:fldChar w:fldCharType="separate"/>
          </w:r>
          <w:r>
            <w:t>2</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_Toc21601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（二）知识</w:t>
          </w:r>
          <w:r>
            <w:tab/>
          </w:r>
          <w:r>
            <w:fldChar w:fldCharType="begin"/>
          </w:r>
          <w:r>
            <w:instrText xml:space="preserve"> PAGEREF _Toc21601 \h </w:instrText>
          </w:r>
          <w:r>
            <w:fldChar w:fldCharType="separate"/>
          </w:r>
          <w:r>
            <w:t>2</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_Toc31339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（三）能力</w:t>
          </w:r>
          <w:r>
            <w:tab/>
          </w:r>
          <w:r>
            <w:fldChar w:fldCharType="begin"/>
          </w:r>
          <w:r>
            <w:instrText xml:space="preserve"> PAGEREF _Toc31339 \h </w:instrText>
          </w:r>
          <w:r>
            <w:fldChar w:fldCharType="separate"/>
          </w:r>
          <w:r>
            <w:t>3</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_Toc12249 </w:instrText>
          </w:r>
          <w:r>
            <w:rPr>
              <w:rFonts w:asciiTheme="minorEastAsia" w:hAnsiTheme="minorEastAsia" w:eastAsiaTheme="minorEastAsia"/>
              <w:szCs w:val="28"/>
              <w:highlight w:val="none"/>
            </w:rPr>
            <w:fldChar w:fldCharType="separate"/>
          </w:r>
          <w:r>
            <w:rPr>
              <w:rFonts w:hint="eastAsia"/>
              <w:bCs w:val="0"/>
              <w:szCs w:val="28"/>
              <w:highlight w:val="none"/>
            </w:rPr>
            <w:t>七、课程设置</w:t>
          </w:r>
          <w:r>
            <w:tab/>
          </w:r>
          <w:r>
            <w:fldChar w:fldCharType="begin"/>
          </w:r>
          <w:r>
            <w:instrText xml:space="preserve"> PAGEREF _Toc12249 \h </w:instrText>
          </w:r>
          <w:r>
            <w:fldChar w:fldCharType="separate"/>
          </w:r>
          <w:r>
            <w:t>4</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_Toc26657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（一）公共基础课程</w:t>
          </w:r>
          <w:r>
            <w:tab/>
          </w:r>
          <w:r>
            <w:fldChar w:fldCharType="begin"/>
          </w:r>
          <w:r>
            <w:instrText xml:space="preserve"> PAGEREF _Toc26657 \h </w:instrText>
          </w:r>
          <w:r>
            <w:fldChar w:fldCharType="separate"/>
          </w:r>
          <w:r>
            <w:t>4</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_Toc2051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（二）专业课程</w:t>
          </w:r>
          <w:r>
            <w:tab/>
          </w:r>
          <w:r>
            <w:fldChar w:fldCharType="begin"/>
          </w:r>
          <w:r>
            <w:instrText xml:space="preserve"> PAGEREF _Toc2051 \h </w:instrText>
          </w:r>
          <w:r>
            <w:fldChar w:fldCharType="separate"/>
          </w:r>
          <w:r>
            <w:t>5</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_Toc5854 </w:instrText>
          </w:r>
          <w:r>
            <w:rPr>
              <w:rFonts w:asciiTheme="minorEastAsia" w:hAnsiTheme="minorEastAsia" w:eastAsiaTheme="minorEastAsia"/>
              <w:szCs w:val="28"/>
              <w:highlight w:val="none"/>
            </w:rPr>
            <w:fldChar w:fldCharType="separate"/>
          </w:r>
          <w:r>
            <w:rPr>
              <w:rFonts w:hint="eastAsia"/>
              <w:bCs w:val="0"/>
              <w:szCs w:val="28"/>
              <w:highlight w:val="none"/>
            </w:rPr>
            <w:t>八、教学进程及学时安排</w:t>
          </w:r>
          <w:r>
            <w:tab/>
          </w:r>
          <w:r>
            <w:fldChar w:fldCharType="begin"/>
          </w:r>
          <w:r>
            <w:instrText xml:space="preserve"> PAGEREF _Toc5854 \h </w:instrText>
          </w:r>
          <w:r>
            <w:fldChar w:fldCharType="separate"/>
          </w:r>
          <w:r>
            <w:t>14</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_Toc1210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（一）教学时间表</w:t>
          </w:r>
          <w:r>
            <w:tab/>
          </w:r>
          <w:r>
            <w:fldChar w:fldCharType="begin"/>
          </w:r>
          <w:r>
            <w:instrText xml:space="preserve"> PAGEREF _Toc1210 \h </w:instrText>
          </w:r>
          <w:r>
            <w:fldChar w:fldCharType="separate"/>
          </w:r>
          <w:r>
            <w:t>14</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_Toc31245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（二）专业教学进程安排表（见附件）</w:t>
          </w:r>
          <w:r>
            <w:tab/>
          </w:r>
          <w:r>
            <w:fldChar w:fldCharType="begin"/>
          </w:r>
          <w:r>
            <w:instrText xml:space="preserve"> PAGEREF _Toc31245 \h </w:instrText>
          </w:r>
          <w:r>
            <w:fldChar w:fldCharType="separate"/>
          </w:r>
          <w:r>
            <w:t>14</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_Toc29393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（三）学时安排表</w:t>
          </w:r>
          <w:r>
            <w:tab/>
          </w:r>
          <w:r>
            <w:fldChar w:fldCharType="begin"/>
          </w:r>
          <w:r>
            <w:instrText xml:space="preserve"> PAGEREF _Toc29393 \h </w:instrText>
          </w:r>
          <w:r>
            <w:fldChar w:fldCharType="separate"/>
          </w:r>
          <w:r>
            <w:t>14</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_Toc32257 </w:instrText>
          </w:r>
          <w:r>
            <w:rPr>
              <w:rFonts w:asciiTheme="minorEastAsia" w:hAnsiTheme="minorEastAsia" w:eastAsiaTheme="minorEastAsia"/>
              <w:szCs w:val="28"/>
              <w:highlight w:val="none"/>
            </w:rPr>
            <w:fldChar w:fldCharType="separate"/>
          </w:r>
          <w:r>
            <w:rPr>
              <w:rFonts w:hint="eastAsia"/>
              <w:bCs w:val="0"/>
              <w:szCs w:val="28"/>
              <w:highlight w:val="none"/>
            </w:rPr>
            <w:t>九、教学基本条件</w:t>
          </w:r>
          <w:r>
            <w:tab/>
          </w:r>
          <w:r>
            <w:fldChar w:fldCharType="begin"/>
          </w:r>
          <w:r>
            <w:instrText xml:space="preserve"> PAGEREF _Toc32257 \h </w:instrText>
          </w:r>
          <w:r>
            <w:fldChar w:fldCharType="separate"/>
          </w:r>
          <w:r>
            <w:t>15</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_Toc15598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（一）师资队伍</w:t>
          </w:r>
          <w:r>
            <w:tab/>
          </w:r>
          <w:r>
            <w:fldChar w:fldCharType="begin"/>
          </w:r>
          <w:r>
            <w:instrText xml:space="preserve"> PAGEREF _Toc15598 \h </w:instrText>
          </w:r>
          <w:r>
            <w:fldChar w:fldCharType="separate"/>
          </w:r>
          <w:r>
            <w:t>15</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_Toc23517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（二）教学设施</w:t>
          </w:r>
          <w:r>
            <w:tab/>
          </w:r>
          <w:r>
            <w:fldChar w:fldCharType="begin"/>
          </w:r>
          <w:r>
            <w:instrText xml:space="preserve"> PAGEREF _Toc23517 \h </w:instrText>
          </w:r>
          <w:r>
            <w:fldChar w:fldCharType="separate"/>
          </w:r>
          <w:r>
            <w:t>16</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_Toc13402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（三）教学资源</w:t>
          </w:r>
          <w:r>
            <w:tab/>
          </w:r>
          <w:r>
            <w:fldChar w:fldCharType="begin"/>
          </w:r>
          <w:r>
            <w:instrText xml:space="preserve"> PAGEREF _Toc13402 \h </w:instrText>
          </w:r>
          <w:r>
            <w:fldChar w:fldCharType="separate"/>
          </w:r>
          <w:r>
            <w:t>19</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_Toc29110 </w:instrText>
          </w:r>
          <w:r>
            <w:rPr>
              <w:rFonts w:asciiTheme="minorEastAsia" w:hAnsiTheme="minorEastAsia" w:eastAsiaTheme="minorEastAsia"/>
              <w:szCs w:val="28"/>
              <w:highlight w:val="none"/>
            </w:rPr>
            <w:fldChar w:fldCharType="separate"/>
          </w:r>
          <w:r>
            <w:rPr>
              <w:rFonts w:hint="eastAsia"/>
              <w:bCs w:val="0"/>
              <w:szCs w:val="28"/>
              <w:highlight w:val="none"/>
            </w:rPr>
            <w:t>十、质量保障</w:t>
          </w:r>
          <w:r>
            <w:tab/>
          </w:r>
          <w:r>
            <w:fldChar w:fldCharType="begin"/>
          </w:r>
          <w:r>
            <w:instrText xml:space="preserve"> PAGEREF _Toc29110 \h </w:instrText>
          </w:r>
          <w:r>
            <w:fldChar w:fldCharType="separate"/>
          </w:r>
          <w:r>
            <w:t>20</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_Toc28955 </w:instrText>
          </w:r>
          <w:r>
            <w:rPr>
              <w:rFonts w:asciiTheme="minorEastAsia" w:hAnsiTheme="minorEastAsia" w:eastAsiaTheme="minorEastAsia"/>
              <w:szCs w:val="28"/>
              <w:highlight w:val="none"/>
            </w:rPr>
            <w:fldChar w:fldCharType="separate"/>
          </w:r>
          <w:r>
            <w:rPr>
              <w:rFonts w:hint="eastAsia"/>
              <w:bCs w:val="0"/>
              <w:szCs w:val="28"/>
              <w:highlight w:val="none"/>
            </w:rPr>
            <w:t>十一、毕业要求</w:t>
          </w:r>
          <w:r>
            <w:tab/>
          </w:r>
          <w:r>
            <w:fldChar w:fldCharType="begin"/>
          </w:r>
          <w:r>
            <w:instrText xml:space="preserve"> PAGEREF _Toc28955 \h </w:instrText>
          </w:r>
          <w:r>
            <w:fldChar w:fldCharType="separate"/>
          </w:r>
          <w:r>
            <w:t>21</w:t>
          </w:r>
          <w:r>
            <w:fldChar w:fldCharType="end"/>
          </w:r>
          <w:r>
            <w:rPr>
              <w:rFonts w:asciiTheme="minorEastAsia" w:hAnsiTheme="minorEastAsia" w:eastAsiaTheme="minorEastAsia"/>
              <w:szCs w:val="28"/>
              <w:highlight w:val="none"/>
            </w:rPr>
            <w:fldChar w:fldCharType="end"/>
          </w:r>
        </w:p>
        <w:p>
          <w:pPr>
            <w:pStyle w:val="9"/>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_Toc26800 </w:instrText>
          </w:r>
          <w:r>
            <w:rPr>
              <w:rFonts w:asciiTheme="minorEastAsia" w:hAnsiTheme="minorEastAsia" w:eastAsiaTheme="minorEastAsia"/>
              <w:szCs w:val="28"/>
              <w:highlight w:val="none"/>
            </w:rPr>
            <w:fldChar w:fldCharType="separate"/>
          </w:r>
          <w:r>
            <w:rPr>
              <w:rFonts w:hint="eastAsia"/>
              <w:bCs w:val="0"/>
              <w:szCs w:val="28"/>
              <w:highlight w:val="none"/>
            </w:rPr>
            <w:t>十二、其他事项</w:t>
          </w:r>
          <w:r>
            <w:tab/>
          </w:r>
          <w:r>
            <w:fldChar w:fldCharType="begin"/>
          </w:r>
          <w:r>
            <w:instrText xml:space="preserve"> PAGEREF _Toc26800 \h </w:instrText>
          </w:r>
          <w:r>
            <w:fldChar w:fldCharType="separate"/>
          </w:r>
          <w:r>
            <w:t>21</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_Toc3093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（一）编制依据</w:t>
          </w:r>
          <w:r>
            <w:tab/>
          </w:r>
          <w:r>
            <w:fldChar w:fldCharType="begin"/>
          </w:r>
          <w:r>
            <w:instrText xml:space="preserve"> PAGEREF _Toc3093 \h </w:instrText>
          </w:r>
          <w:r>
            <w:fldChar w:fldCharType="separate"/>
          </w:r>
          <w:r>
            <w:t>21</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_Toc300 </w:instrText>
          </w:r>
          <w:r>
            <w:rPr>
              <w:rFonts w:asciiTheme="minorEastAsia" w:hAnsiTheme="minorEastAsia" w:eastAsiaTheme="minorEastAsia"/>
              <w:szCs w:val="28"/>
              <w:highlight w:val="none"/>
            </w:rPr>
            <w:fldChar w:fldCharType="separate"/>
          </w:r>
          <w:r>
            <w:rPr>
              <w:rFonts w:hint="eastAsia" w:ascii="仿宋" w:hAnsi="仿宋" w:eastAsia="仿宋"/>
              <w:bCs/>
              <w:szCs w:val="28"/>
              <w:highlight w:val="none"/>
            </w:rPr>
            <w:t>（二）执行说明</w:t>
          </w:r>
          <w:r>
            <w:tab/>
          </w:r>
          <w:r>
            <w:fldChar w:fldCharType="begin"/>
          </w:r>
          <w:r>
            <w:instrText xml:space="preserve"> PAGEREF _Toc300 \h </w:instrText>
          </w:r>
          <w:r>
            <w:fldChar w:fldCharType="separate"/>
          </w:r>
          <w:r>
            <w:t>21</w:t>
          </w:r>
          <w:r>
            <w:fldChar w:fldCharType="end"/>
          </w:r>
          <w:r>
            <w:rPr>
              <w:rFonts w:asciiTheme="minorEastAsia" w:hAnsiTheme="minorEastAsia" w:eastAsiaTheme="minorEastAsia"/>
              <w:szCs w:val="28"/>
              <w:highlight w:val="none"/>
            </w:rPr>
            <w:fldChar w:fldCharType="end"/>
          </w:r>
        </w:p>
        <w:p>
          <w:pPr>
            <w:pStyle w:val="10"/>
            <w:tabs>
              <w:tab w:val="right" w:leader="dot" w:pos="8306"/>
            </w:tabs>
          </w:pPr>
          <w:r>
            <w:rPr>
              <w:rFonts w:asciiTheme="minorEastAsia" w:hAnsiTheme="minorEastAsia" w:eastAsiaTheme="minorEastAsia"/>
              <w:szCs w:val="28"/>
              <w:highlight w:val="none"/>
            </w:rPr>
            <w:fldChar w:fldCharType="begin"/>
          </w:r>
          <w:r>
            <w:rPr>
              <w:rFonts w:asciiTheme="minorEastAsia" w:hAnsiTheme="minorEastAsia" w:eastAsiaTheme="minorEastAsia"/>
              <w:szCs w:val="28"/>
              <w:highlight w:val="none"/>
            </w:rPr>
            <w:instrText xml:space="preserve"> HYPERLINK \l _Toc19208 </w:instrText>
          </w:r>
          <w:r>
            <w:rPr>
              <w:rFonts w:asciiTheme="minorEastAsia" w:hAnsiTheme="minorEastAsia" w:eastAsiaTheme="minorEastAsia"/>
              <w:szCs w:val="28"/>
              <w:highlight w:val="none"/>
            </w:rPr>
            <w:fldChar w:fldCharType="separate"/>
          </w:r>
          <w:r>
            <w:rPr>
              <w:rFonts w:hint="eastAsia" w:ascii="仿宋" w:hAnsi="仿宋" w:eastAsia="仿宋"/>
              <w:bCs/>
              <w:szCs w:val="28"/>
            </w:rPr>
            <w:t>（三）</w:t>
          </w:r>
          <w:r>
            <w:rPr>
              <w:rFonts w:hint="eastAsia" w:ascii="仿宋" w:hAnsi="仿宋" w:eastAsia="仿宋"/>
              <w:bCs/>
              <w:szCs w:val="28"/>
              <w:highlight w:val="none"/>
            </w:rPr>
            <w:t>研制团队</w:t>
          </w:r>
          <w:r>
            <w:tab/>
          </w:r>
          <w:r>
            <w:fldChar w:fldCharType="begin"/>
          </w:r>
          <w:r>
            <w:instrText xml:space="preserve"> PAGEREF _Toc19208 \h </w:instrText>
          </w:r>
          <w:r>
            <w:fldChar w:fldCharType="separate"/>
          </w:r>
          <w:r>
            <w:t>23</w:t>
          </w:r>
          <w:r>
            <w:fldChar w:fldCharType="end"/>
          </w:r>
          <w:r>
            <w:rPr>
              <w:rFonts w:asciiTheme="minorEastAsia" w:hAnsiTheme="minorEastAsia" w:eastAsiaTheme="minorEastAsia"/>
              <w:szCs w:val="28"/>
              <w:highlight w:val="none"/>
            </w:rPr>
            <w:fldChar w:fldCharType="end"/>
          </w:r>
        </w:p>
        <w:p>
          <w:pPr>
            <w:pStyle w:val="4"/>
            <w:spacing w:line="276" w:lineRule="auto"/>
            <w:ind w:firstLine="0" w:firstLineChars="0"/>
            <w:rPr>
              <w:rFonts w:ascii="Times New Roman" w:hAnsi="Times New Roman" w:eastAsia="方正小标宋简体" w:cs="方正小标宋简体"/>
              <w:sz w:val="40"/>
              <w:szCs w:val="40"/>
              <w:highlight w:val="none"/>
            </w:rPr>
          </w:pPr>
          <w:r>
            <w:rPr>
              <w:rFonts w:asciiTheme="minorEastAsia" w:hAnsiTheme="minorEastAsia" w:eastAsiaTheme="minorEastAsia"/>
              <w:szCs w:val="28"/>
              <w:highlight w:val="none"/>
            </w:rPr>
            <w:fldChar w:fldCharType="end"/>
          </w:r>
        </w:p>
      </w:sdtContent>
    </w:sdt>
    <w:p>
      <w:pPr>
        <w:pStyle w:val="4"/>
        <w:rPr>
          <w:highlight w:val="none"/>
        </w:rPr>
        <w:sectPr>
          <w:footerReference r:id="rId3" w:type="default"/>
          <w:pgSz w:w="11906" w:h="16838"/>
          <w:pgMar w:top="1440" w:right="1800" w:bottom="1440" w:left="1800" w:header="851" w:footer="992" w:gutter="0"/>
          <w:pgNumType w:fmt="numberInDash" w:start="1"/>
          <w:cols w:space="0" w:num="1"/>
          <w:docGrid w:linePitch="435" w:charSpace="0"/>
        </w:sectPr>
      </w:pPr>
    </w:p>
    <w:p>
      <w:pPr>
        <w:pStyle w:val="2"/>
        <w:spacing w:before="120" w:after="120" w:line="500" w:lineRule="exact"/>
        <w:ind w:firstLine="560"/>
        <w:rPr>
          <w:b w:val="0"/>
          <w:bCs w:val="0"/>
          <w:sz w:val="28"/>
          <w:szCs w:val="28"/>
          <w:highlight w:val="none"/>
        </w:rPr>
      </w:pPr>
      <w:bookmarkStart w:id="0" w:name="_Toc23297"/>
      <w:bookmarkStart w:id="1" w:name="_Toc7285"/>
      <w:r>
        <w:rPr>
          <w:rFonts w:hint="eastAsia"/>
          <w:b w:val="0"/>
          <w:bCs w:val="0"/>
          <w:sz w:val="28"/>
          <w:szCs w:val="28"/>
          <w:highlight w:val="none"/>
        </w:rPr>
        <w:t>一、专业名称及代码</w:t>
      </w:r>
      <w:bookmarkEnd w:id="0"/>
      <w:bookmarkEnd w:id="1"/>
    </w:p>
    <w:p>
      <w:pPr>
        <w:overflowPunct w:val="0"/>
        <w:spacing w:line="500" w:lineRule="exact"/>
        <w:ind w:firstLine="560" w:firstLineChars="200"/>
        <w:rPr>
          <w:rFonts w:ascii="Times New Roman" w:hAnsi="Times New Roman" w:eastAsia="楷体"/>
          <w:color w:val="060ABE"/>
          <w:sz w:val="24"/>
          <w:szCs w:val="24"/>
          <w:highlight w:val="none"/>
        </w:rPr>
      </w:pPr>
      <w:r>
        <w:rPr>
          <w:rFonts w:hint="eastAsia" w:ascii="仿宋" w:hAnsi="仿宋" w:eastAsia="仿宋" w:cs="宋体"/>
          <w:sz w:val="28"/>
          <w:szCs w:val="28"/>
          <w:highlight w:val="none"/>
        </w:rPr>
        <w:t>数控技术（460103）</w:t>
      </w:r>
    </w:p>
    <w:p>
      <w:pPr>
        <w:pStyle w:val="2"/>
        <w:spacing w:before="120" w:after="120" w:line="500" w:lineRule="exact"/>
        <w:ind w:firstLine="560"/>
        <w:rPr>
          <w:b w:val="0"/>
          <w:bCs w:val="0"/>
          <w:sz w:val="28"/>
          <w:szCs w:val="28"/>
          <w:highlight w:val="none"/>
        </w:rPr>
      </w:pPr>
      <w:bookmarkStart w:id="2" w:name="_Toc23558"/>
      <w:bookmarkStart w:id="3" w:name="_Toc9633"/>
      <w:bookmarkStart w:id="4" w:name="_Toc32430"/>
      <w:bookmarkStart w:id="5" w:name="_Toc1925"/>
      <w:r>
        <w:rPr>
          <w:rFonts w:hint="eastAsia"/>
          <w:b w:val="0"/>
          <w:bCs w:val="0"/>
          <w:sz w:val="28"/>
          <w:szCs w:val="28"/>
          <w:highlight w:val="none"/>
        </w:rPr>
        <w:t>二、入学要求</w:t>
      </w:r>
      <w:bookmarkEnd w:id="2"/>
      <w:bookmarkEnd w:id="3"/>
      <w:bookmarkEnd w:id="4"/>
      <w:bookmarkEnd w:id="5"/>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初中应届毕业生</w:t>
      </w:r>
    </w:p>
    <w:p>
      <w:pPr>
        <w:pStyle w:val="2"/>
        <w:spacing w:before="120" w:after="120" w:line="500" w:lineRule="exact"/>
        <w:ind w:firstLine="560"/>
        <w:rPr>
          <w:b w:val="0"/>
          <w:bCs w:val="0"/>
          <w:sz w:val="28"/>
          <w:szCs w:val="28"/>
          <w:highlight w:val="none"/>
        </w:rPr>
      </w:pPr>
      <w:bookmarkStart w:id="6" w:name="_Toc26421"/>
      <w:bookmarkStart w:id="7" w:name="_Toc27611"/>
      <w:bookmarkStart w:id="8" w:name="_Toc8788"/>
      <w:bookmarkStart w:id="9" w:name="_Toc31510"/>
      <w:r>
        <w:rPr>
          <w:rFonts w:hint="eastAsia"/>
          <w:b w:val="0"/>
          <w:bCs w:val="0"/>
          <w:sz w:val="28"/>
          <w:szCs w:val="28"/>
          <w:highlight w:val="none"/>
        </w:rPr>
        <w:t>三、基本修业年限</w:t>
      </w:r>
      <w:bookmarkEnd w:id="6"/>
      <w:bookmarkEnd w:id="7"/>
      <w:bookmarkEnd w:id="8"/>
      <w:bookmarkEnd w:id="9"/>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w:t>
      </w:r>
      <w:r>
        <w:rPr>
          <w:rFonts w:ascii="仿宋" w:hAnsi="仿宋" w:eastAsia="仿宋"/>
          <w:sz w:val="28"/>
          <w:szCs w:val="28"/>
          <w:highlight w:val="none"/>
        </w:rPr>
        <w:t>年</w:t>
      </w:r>
    </w:p>
    <w:p>
      <w:pPr>
        <w:pStyle w:val="2"/>
        <w:spacing w:before="120" w:after="120" w:line="500" w:lineRule="exact"/>
        <w:ind w:firstLine="560"/>
        <w:rPr>
          <w:b w:val="0"/>
          <w:bCs w:val="0"/>
          <w:sz w:val="28"/>
          <w:szCs w:val="28"/>
          <w:highlight w:val="none"/>
        </w:rPr>
      </w:pPr>
      <w:bookmarkStart w:id="10" w:name="_Toc3393"/>
      <w:bookmarkStart w:id="11" w:name="_Toc13778"/>
      <w:bookmarkStart w:id="12" w:name="_Toc28347"/>
      <w:bookmarkStart w:id="13" w:name="_Toc8559"/>
      <w:r>
        <w:rPr>
          <w:rFonts w:hint="eastAsia"/>
          <w:b w:val="0"/>
          <w:bCs w:val="0"/>
          <w:sz w:val="28"/>
          <w:szCs w:val="28"/>
          <w:highlight w:val="none"/>
        </w:rPr>
        <w:t>四、职业面向</w:t>
      </w:r>
      <w:bookmarkEnd w:id="10"/>
      <w:bookmarkEnd w:id="11"/>
      <w:bookmarkEnd w:id="12"/>
      <w:bookmarkEnd w:id="13"/>
    </w:p>
    <w:tbl>
      <w:tblPr>
        <w:tblStyle w:val="12"/>
        <w:tblW w:w="8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9"/>
        <w:gridCol w:w="4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highlight w:val="none"/>
              </w:rPr>
            </w:pPr>
            <w:r>
              <w:rPr>
                <w:rFonts w:ascii="Times New Roman" w:hAnsi="Times New Roman" w:eastAsiaTheme="majorEastAsia"/>
                <w:bCs/>
                <w:sz w:val="21"/>
                <w:szCs w:val="21"/>
                <w:highlight w:val="none"/>
              </w:rPr>
              <w:t>所属专业大类（代码）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color w:val="FF0000"/>
                <w:sz w:val="21"/>
                <w:szCs w:val="21"/>
                <w:highlight w:val="none"/>
              </w:rPr>
            </w:pPr>
            <w:r>
              <w:rPr>
                <w:rFonts w:hint="eastAsia" w:cs="宋体" w:asciiTheme="minorEastAsia" w:hAnsiTheme="minorEastAsia" w:eastAsiaTheme="minorEastAsia"/>
                <w:bCs/>
                <w:sz w:val="21"/>
                <w:szCs w:val="21"/>
                <w:highlight w:val="none"/>
              </w:rPr>
              <w:t>装备制造大类（46）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highlight w:val="none"/>
              </w:rPr>
            </w:pPr>
            <w:r>
              <w:rPr>
                <w:rFonts w:ascii="Times New Roman" w:hAnsi="Times New Roman" w:eastAsiaTheme="majorEastAsia"/>
                <w:bCs/>
                <w:sz w:val="21"/>
                <w:szCs w:val="21"/>
                <w:highlight w:val="none"/>
              </w:rPr>
              <w:t>所属专业类（代码）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机械设计制造类（4601）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highlight w:val="none"/>
              </w:rPr>
            </w:pPr>
            <w:r>
              <w:rPr>
                <w:rFonts w:ascii="Times New Roman" w:hAnsi="Times New Roman" w:eastAsiaTheme="majorEastAsia"/>
                <w:bCs/>
                <w:sz w:val="21"/>
                <w:szCs w:val="21"/>
                <w:highlight w:val="none"/>
              </w:rPr>
              <w:t>对应行业（代码）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通用设备制造业（34）</w:t>
            </w:r>
          </w:p>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专用设备制造业（35）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highlight w:val="none"/>
              </w:rPr>
            </w:pPr>
            <w:r>
              <w:rPr>
                <w:rFonts w:ascii="Times New Roman" w:hAnsi="Times New Roman" w:eastAsiaTheme="majorEastAsia"/>
                <w:bCs/>
                <w:sz w:val="21"/>
                <w:szCs w:val="21"/>
                <w:highlight w:val="none"/>
              </w:rPr>
              <w:t>主要职业类别（代码）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机械工程技术人员（2-02-07）</w:t>
            </w:r>
          </w:p>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数字技术工程技术人员（2-02-38）</w:t>
            </w:r>
          </w:p>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通用基础件装配制造人员（6-20-01）</w:t>
            </w:r>
          </w:p>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金属加工机械制造人员（6-20-03）</w:t>
            </w:r>
          </w:p>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农业机械制造人员（6-21-05）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highlight w:val="none"/>
              </w:rPr>
            </w:pPr>
            <w:r>
              <w:rPr>
                <w:rFonts w:ascii="Times New Roman" w:hAnsi="Times New Roman" w:eastAsiaTheme="majorEastAsia"/>
                <w:bCs/>
                <w:sz w:val="21"/>
                <w:szCs w:val="21"/>
                <w:highlight w:val="none"/>
              </w:rPr>
              <w:t>主要岗位（群）或技术领域</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数控设备操作；机械加工工艺编制与实施；</w:t>
            </w:r>
          </w:p>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数控编程；质量检验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highlight w:val="none"/>
              </w:rPr>
            </w:pPr>
            <w:r>
              <w:rPr>
                <w:rFonts w:ascii="Times New Roman" w:hAnsi="Times New Roman" w:eastAsiaTheme="majorEastAsia"/>
                <w:bCs/>
                <w:sz w:val="21"/>
                <w:szCs w:val="21"/>
                <w:highlight w:val="none"/>
              </w:rPr>
              <w:t>职业类证书</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车削技术（数控车工）职业资格</w:t>
            </w:r>
            <w:r>
              <w:rPr>
                <w:rFonts w:hint="eastAsia" w:cs="宋体" w:asciiTheme="minorEastAsia" w:hAnsiTheme="minorEastAsia" w:eastAsiaTheme="minorEastAsia"/>
                <w:bCs/>
                <w:sz w:val="21"/>
                <w:szCs w:val="21"/>
                <w:highlight w:val="none"/>
                <w:lang w:eastAsia="zh-CN"/>
              </w:rPr>
              <w:t>三、</w:t>
            </w:r>
            <w:r>
              <w:rPr>
                <w:rFonts w:hint="eastAsia" w:cs="宋体" w:asciiTheme="minorEastAsia" w:hAnsiTheme="minorEastAsia" w:eastAsiaTheme="minorEastAsia"/>
                <w:bCs/>
                <w:sz w:val="21"/>
                <w:szCs w:val="21"/>
                <w:highlight w:val="none"/>
              </w:rPr>
              <w:t>四级证书</w:t>
            </w:r>
          </w:p>
        </w:tc>
      </w:tr>
    </w:tbl>
    <w:p>
      <w:pPr>
        <w:pStyle w:val="2"/>
        <w:spacing w:before="120" w:after="120" w:line="500" w:lineRule="exact"/>
        <w:ind w:left="0" w:leftChars="0" w:firstLine="280" w:firstLineChars="100"/>
        <w:rPr>
          <w:b w:val="0"/>
          <w:bCs w:val="0"/>
          <w:sz w:val="28"/>
          <w:szCs w:val="28"/>
          <w:highlight w:val="none"/>
        </w:rPr>
      </w:pPr>
      <w:bookmarkStart w:id="14" w:name="_Toc27189"/>
      <w:bookmarkStart w:id="15" w:name="_Toc7208"/>
      <w:bookmarkStart w:id="16" w:name="_Toc1306"/>
      <w:r>
        <w:rPr>
          <w:rFonts w:hint="eastAsia"/>
          <w:b w:val="0"/>
          <w:bCs w:val="0"/>
          <w:sz w:val="28"/>
          <w:szCs w:val="28"/>
          <w:highlight w:val="none"/>
        </w:rPr>
        <w:t>五、培养目标</w:t>
      </w:r>
      <w:bookmarkEnd w:id="14"/>
      <w:bookmarkEnd w:id="15"/>
      <w:bookmarkEnd w:id="16"/>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本专业培养能够践行社会主义核心价值观，德智体美劳全面发展，具有一定的科学文化水平，良好的人文素养、科学素养、数字素养、职业道德和创新意识，精益求精的工匠精神，较强的就业创业能力和可持续发展能力，掌握本专业知识和技术技能，面向通用设备和专用设备行业的机械制造工程技术人员、质量管理工程技术人员、机械设计工程技术人员等职业，能够从事数控工艺编制与实施、数控编程与加工、数控设备操作、数控设备装调与维护、智能制造加工单元运维、产品质量检测与控制等工作的高素质技术技能人才。</w:t>
      </w:r>
    </w:p>
    <w:p>
      <w:pPr>
        <w:pStyle w:val="2"/>
        <w:spacing w:before="120" w:after="120" w:line="500" w:lineRule="exact"/>
        <w:ind w:firstLine="560"/>
        <w:rPr>
          <w:b w:val="0"/>
          <w:bCs w:val="0"/>
          <w:sz w:val="28"/>
          <w:szCs w:val="28"/>
          <w:highlight w:val="none"/>
        </w:rPr>
      </w:pPr>
      <w:bookmarkStart w:id="17" w:name="_Toc497"/>
      <w:bookmarkStart w:id="18" w:name="_Toc26540"/>
      <w:bookmarkStart w:id="19" w:name="_Toc11505"/>
      <w:bookmarkStart w:id="20" w:name="_Toc29602"/>
      <w:r>
        <w:rPr>
          <w:rFonts w:hint="eastAsia"/>
          <w:b w:val="0"/>
          <w:bCs w:val="0"/>
          <w:sz w:val="28"/>
          <w:szCs w:val="28"/>
          <w:highlight w:val="none"/>
        </w:rPr>
        <w:t>六、培养规格</w:t>
      </w:r>
      <w:bookmarkEnd w:id="17"/>
      <w:bookmarkEnd w:id="18"/>
      <w:bookmarkEnd w:id="19"/>
      <w:bookmarkEnd w:id="20"/>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本专业学生应在系统学习本专业知识并完成有关实习实训基础上，全面提升素质、知识、能力，掌握并实际运用</w:t>
      </w:r>
      <w:r>
        <w:rPr>
          <w:rFonts w:ascii="仿宋" w:hAnsi="仿宋" w:eastAsia="仿宋"/>
          <w:kern w:val="2"/>
          <w:sz w:val="28"/>
          <w:szCs w:val="28"/>
          <w:highlight w:val="none"/>
        </w:rPr>
        <w:t>岗位需要</w:t>
      </w:r>
      <w:r>
        <w:rPr>
          <w:rFonts w:hint="eastAsia" w:ascii="仿宋" w:hAnsi="仿宋" w:eastAsia="仿宋"/>
          <w:kern w:val="2"/>
          <w:sz w:val="28"/>
          <w:szCs w:val="28"/>
          <w:highlight w:val="none"/>
        </w:rPr>
        <w:t>的专业核心技术技能，总体上须达到以下要求</w:t>
      </w:r>
      <w:bookmarkStart w:id="21" w:name="_Toc13310"/>
      <w:r>
        <w:rPr>
          <w:rFonts w:hint="eastAsia" w:ascii="仿宋" w:hAnsi="仿宋" w:eastAsia="仿宋"/>
          <w:kern w:val="2"/>
          <w:sz w:val="28"/>
          <w:szCs w:val="28"/>
          <w:highlight w:val="none"/>
        </w:rPr>
        <w:t>。</w:t>
      </w:r>
    </w:p>
    <w:p>
      <w:pPr>
        <w:pStyle w:val="3"/>
        <w:spacing w:line="500" w:lineRule="exact"/>
        <w:ind w:firstLine="562"/>
        <w:rPr>
          <w:rFonts w:ascii="仿宋" w:hAnsi="仿宋" w:eastAsia="仿宋"/>
          <w:bCs/>
          <w:szCs w:val="28"/>
          <w:highlight w:val="none"/>
        </w:rPr>
      </w:pPr>
      <w:bookmarkStart w:id="22" w:name="_Toc26116"/>
      <w:r>
        <w:rPr>
          <w:rFonts w:hint="eastAsia" w:ascii="仿宋" w:hAnsi="仿宋" w:eastAsia="仿宋"/>
          <w:bCs/>
          <w:szCs w:val="28"/>
          <w:highlight w:val="none"/>
        </w:rPr>
        <w:t>（一）素质</w:t>
      </w:r>
      <w:bookmarkEnd w:id="21"/>
      <w:bookmarkEnd w:id="22"/>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1.坚定拥护中国共产党领导和中国特色社会主义制度，以习近平新时代中国特色社会主义思想为指导，践行社会主义核心价值观，具有坚定的理想信念、深厚的爱国情感和中华民族自豪感；</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w:t>
      </w:r>
      <w:r>
        <w:rPr>
          <w:rFonts w:hint="eastAsia" w:ascii="仿宋" w:hAnsi="仿宋" w:eastAsia="仿宋"/>
          <w:sz w:val="28"/>
          <w:szCs w:val="28"/>
          <w:highlight w:val="none"/>
        </w:rPr>
        <w:t>能够熟练掌握与本专业从事职业活动相关的国家法律</w:t>
      </w:r>
      <w:r>
        <w:rPr>
          <w:rFonts w:ascii="仿宋" w:hAnsi="仿宋" w:eastAsia="仿宋"/>
          <w:sz w:val="28"/>
          <w:szCs w:val="28"/>
          <w:highlight w:val="none"/>
        </w:rPr>
        <w:t>、</w:t>
      </w:r>
      <w:r>
        <w:rPr>
          <w:rFonts w:hint="eastAsia" w:ascii="仿宋" w:hAnsi="仿宋" w:eastAsia="仿宋"/>
          <w:sz w:val="28"/>
          <w:szCs w:val="28"/>
          <w:highlight w:val="none"/>
        </w:rPr>
        <w:t>行业规定</w:t>
      </w:r>
      <w:r>
        <w:rPr>
          <w:rFonts w:ascii="仿宋" w:hAnsi="仿宋" w:eastAsia="仿宋"/>
          <w:sz w:val="28"/>
          <w:szCs w:val="28"/>
          <w:highlight w:val="none"/>
        </w:rPr>
        <w:t>，</w:t>
      </w:r>
      <w:r>
        <w:rPr>
          <w:rFonts w:hint="eastAsia" w:ascii="仿宋" w:hAnsi="仿宋" w:eastAsia="仿宋"/>
          <w:sz w:val="28"/>
          <w:szCs w:val="28"/>
          <w:highlight w:val="none"/>
        </w:rPr>
        <w:t>掌握绿色生产、环境保护、安全防护</w:t>
      </w:r>
      <w:r>
        <w:rPr>
          <w:rFonts w:ascii="仿宋" w:hAnsi="仿宋" w:eastAsia="仿宋"/>
          <w:sz w:val="28"/>
          <w:szCs w:val="28"/>
          <w:highlight w:val="none"/>
        </w:rPr>
        <w:t>、</w:t>
      </w:r>
      <w:r>
        <w:rPr>
          <w:rFonts w:hint="eastAsia" w:ascii="仿宋" w:hAnsi="仿宋" w:eastAsia="仿宋"/>
          <w:sz w:val="28"/>
          <w:szCs w:val="28"/>
          <w:highlight w:val="none"/>
        </w:rPr>
        <w:t>质量管理等相关知识与技能，了解相关产业文化，遵守职业道德准则和行为规范，具备社会责任感和担当精神；</w:t>
      </w:r>
    </w:p>
    <w:p>
      <w:pPr>
        <w:pStyle w:val="4"/>
        <w:spacing w:line="500" w:lineRule="exact"/>
        <w:ind w:firstLine="560"/>
        <w:rPr>
          <w:rFonts w:ascii="仿宋" w:hAnsi="仿宋" w:eastAsia="仿宋"/>
          <w:kern w:val="2"/>
          <w:sz w:val="28"/>
          <w:szCs w:val="28"/>
          <w:highlight w:val="none"/>
        </w:rPr>
      </w:pPr>
      <w:r>
        <w:rPr>
          <w:rFonts w:ascii="仿宋" w:hAnsi="仿宋" w:eastAsia="仿宋"/>
          <w:kern w:val="2"/>
          <w:sz w:val="28"/>
          <w:szCs w:val="28"/>
          <w:highlight w:val="none"/>
        </w:rPr>
        <w:t>3</w:t>
      </w:r>
      <w:r>
        <w:rPr>
          <w:rFonts w:hint="eastAsia" w:ascii="仿宋" w:hAnsi="仿宋" w:eastAsia="仿宋"/>
          <w:kern w:val="2"/>
          <w:sz w:val="28"/>
          <w:szCs w:val="28"/>
          <w:highlight w:val="none"/>
        </w:rPr>
        <w:t>.具有较强的集体意识和团队合作意识；</w:t>
      </w:r>
    </w:p>
    <w:p>
      <w:pPr>
        <w:overflowPunct w:val="0"/>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4.掌握基本身体运动知识和羽毛球、篮球等1项体育运动技能，达到国家学生体质测试合格标准，养成良好的运动习惯、卫生习惯和行为习惯；具备一定的心理调适能力；</w:t>
      </w:r>
    </w:p>
    <w:p>
      <w:pPr>
        <w:overflowPunct w:val="0"/>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5.掌握必备的美育知识，具有一定的文化修养、审美能力，形成音乐、美术的艺术特长或爱好；</w:t>
      </w:r>
    </w:p>
    <w:p>
      <w:pPr>
        <w:overflowPunct w:val="0"/>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弘扬劳动光荣</w:t>
      </w:r>
      <w:r>
        <w:rPr>
          <w:rFonts w:ascii="仿宋" w:hAnsi="仿宋" w:eastAsia="仿宋"/>
          <w:sz w:val="28"/>
          <w:szCs w:val="28"/>
          <w:highlight w:val="none"/>
        </w:rPr>
        <w:t>、</w:t>
      </w:r>
      <w:r>
        <w:rPr>
          <w:rFonts w:hint="eastAsia" w:ascii="仿宋" w:hAnsi="仿宋" w:eastAsia="仿宋"/>
          <w:sz w:val="28"/>
          <w:szCs w:val="28"/>
          <w:highlight w:val="none"/>
        </w:rPr>
        <w:t>技能宝贵</w:t>
      </w:r>
      <w:r>
        <w:rPr>
          <w:rFonts w:ascii="仿宋" w:hAnsi="仿宋" w:eastAsia="仿宋"/>
          <w:sz w:val="28"/>
          <w:szCs w:val="28"/>
          <w:highlight w:val="none"/>
        </w:rPr>
        <w:t>、</w:t>
      </w:r>
      <w:r>
        <w:rPr>
          <w:rFonts w:hint="eastAsia" w:ascii="仿宋" w:hAnsi="仿宋" w:eastAsia="仿宋"/>
          <w:sz w:val="28"/>
          <w:szCs w:val="28"/>
          <w:highlight w:val="none"/>
        </w:rPr>
        <w:t>创造伟大的时代精神</w:t>
      </w:r>
      <w:r>
        <w:rPr>
          <w:rFonts w:ascii="仿宋" w:hAnsi="仿宋" w:eastAsia="仿宋"/>
          <w:sz w:val="28"/>
          <w:szCs w:val="28"/>
          <w:highlight w:val="none"/>
        </w:rPr>
        <w:t>，</w:t>
      </w:r>
      <w:r>
        <w:rPr>
          <w:rFonts w:hint="eastAsia" w:ascii="仿宋" w:hAnsi="仿宋" w:eastAsia="仿宋"/>
          <w:sz w:val="28"/>
          <w:szCs w:val="28"/>
          <w:highlight w:val="none"/>
        </w:rPr>
        <w:t>热爱劳动人民</w:t>
      </w:r>
      <w:r>
        <w:rPr>
          <w:rFonts w:ascii="仿宋" w:hAnsi="仿宋" w:eastAsia="仿宋"/>
          <w:sz w:val="28"/>
          <w:szCs w:val="28"/>
          <w:highlight w:val="none"/>
        </w:rPr>
        <w:t>、</w:t>
      </w:r>
      <w:r>
        <w:rPr>
          <w:rFonts w:hint="eastAsia" w:ascii="仿宋" w:hAnsi="仿宋" w:eastAsia="仿宋"/>
          <w:sz w:val="28"/>
          <w:szCs w:val="28"/>
          <w:highlight w:val="none"/>
        </w:rPr>
        <w:t>珍惜劳动成果</w:t>
      </w:r>
      <w:r>
        <w:rPr>
          <w:rFonts w:ascii="仿宋" w:hAnsi="仿宋" w:eastAsia="仿宋"/>
          <w:sz w:val="28"/>
          <w:szCs w:val="28"/>
          <w:highlight w:val="none"/>
        </w:rPr>
        <w:t>、</w:t>
      </w:r>
      <w:r>
        <w:rPr>
          <w:rFonts w:hint="eastAsia" w:ascii="仿宋" w:hAnsi="仿宋" w:eastAsia="仿宋"/>
          <w:sz w:val="28"/>
          <w:szCs w:val="28"/>
          <w:highlight w:val="none"/>
        </w:rPr>
        <w:t>树立劳动观念</w:t>
      </w:r>
      <w:r>
        <w:rPr>
          <w:rFonts w:ascii="仿宋" w:hAnsi="仿宋" w:eastAsia="仿宋"/>
          <w:sz w:val="28"/>
          <w:szCs w:val="28"/>
          <w:highlight w:val="none"/>
        </w:rPr>
        <w:t>、</w:t>
      </w:r>
      <w:r>
        <w:rPr>
          <w:rFonts w:hint="eastAsia" w:ascii="仿宋" w:hAnsi="仿宋" w:eastAsia="仿宋"/>
          <w:sz w:val="28"/>
          <w:szCs w:val="28"/>
          <w:highlight w:val="none"/>
        </w:rPr>
        <w:t>积极投身劳动，具备与本专业职业发展相适应的劳动素养</w:t>
      </w:r>
      <w:r>
        <w:rPr>
          <w:rFonts w:ascii="仿宋" w:hAnsi="仿宋" w:eastAsia="仿宋"/>
          <w:sz w:val="28"/>
          <w:szCs w:val="28"/>
          <w:highlight w:val="none"/>
        </w:rPr>
        <w:t>、</w:t>
      </w:r>
      <w:r>
        <w:rPr>
          <w:rFonts w:hint="eastAsia" w:ascii="仿宋" w:hAnsi="仿宋" w:eastAsia="仿宋"/>
          <w:sz w:val="28"/>
          <w:szCs w:val="28"/>
          <w:highlight w:val="none"/>
        </w:rPr>
        <w:t>劳动技能。</w:t>
      </w:r>
    </w:p>
    <w:p>
      <w:pPr>
        <w:pStyle w:val="3"/>
        <w:ind w:firstLine="562"/>
        <w:rPr>
          <w:rFonts w:ascii="仿宋" w:hAnsi="仿宋" w:eastAsia="仿宋"/>
          <w:bCs/>
          <w:szCs w:val="28"/>
          <w:highlight w:val="none"/>
        </w:rPr>
      </w:pPr>
      <w:bookmarkStart w:id="23" w:name="_Toc10823"/>
      <w:bookmarkStart w:id="24" w:name="_Toc21601"/>
      <w:r>
        <w:rPr>
          <w:rFonts w:hint="eastAsia" w:ascii="仿宋" w:hAnsi="仿宋" w:eastAsia="仿宋"/>
          <w:bCs/>
          <w:szCs w:val="28"/>
          <w:highlight w:val="none"/>
        </w:rPr>
        <w:t>（二）知识</w:t>
      </w:r>
      <w:bookmarkEnd w:id="23"/>
      <w:bookmarkEnd w:id="24"/>
    </w:p>
    <w:p>
      <w:pPr>
        <w:overflowPunct w:val="0"/>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掌握支撑本专业学习和可持续发展必备的思想政治理论和科学文化基础知识，具有良好的科学素养与人文素养；</w:t>
      </w:r>
    </w:p>
    <w:p>
      <w:pPr>
        <w:overflowPunct w:val="0"/>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熟悉与本专业相关的法律法规以及环境保护、安全消防、文明生产等相关知识;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w:t>
      </w:r>
      <w:r>
        <w:rPr>
          <w:rFonts w:hint="eastAsia" w:ascii="仿宋" w:hAnsi="仿宋" w:eastAsia="仿宋"/>
          <w:sz w:val="28"/>
          <w:szCs w:val="28"/>
          <w:highlight w:val="none"/>
        </w:rPr>
        <w:t>掌握机械制图知识、极限与配合知识;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w:t>
      </w:r>
      <w:r>
        <w:rPr>
          <w:rFonts w:hint="eastAsia" w:ascii="仿宋" w:hAnsi="仿宋" w:eastAsia="仿宋"/>
          <w:sz w:val="28"/>
          <w:szCs w:val="28"/>
          <w:highlight w:val="none"/>
        </w:rPr>
        <w:t xml:space="preserve"> 掌握常用金属材料的性能及应用知识和热加工基础知识;具有简单机械装置设计、确定零件热处理规程的能力；</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w:t>
      </w:r>
      <w:r>
        <w:rPr>
          <w:rFonts w:ascii="仿宋" w:hAnsi="仿宋" w:eastAsia="仿宋"/>
          <w:sz w:val="28"/>
          <w:szCs w:val="28"/>
          <w:highlight w:val="none"/>
        </w:rPr>
        <w:t>.</w:t>
      </w:r>
      <w:r>
        <w:rPr>
          <w:rFonts w:hint="eastAsia" w:ascii="仿宋" w:hAnsi="仿宋" w:eastAsia="仿宋"/>
          <w:sz w:val="28"/>
          <w:szCs w:val="28"/>
          <w:highlight w:val="none"/>
        </w:rPr>
        <w:t>掌握电工电子技术基础、机械基础 、液压与气压传动知识；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w:t>
      </w:r>
      <w:r>
        <w:rPr>
          <w:rFonts w:ascii="仿宋" w:hAnsi="仿宋" w:eastAsia="仿宋"/>
          <w:sz w:val="28"/>
          <w:szCs w:val="28"/>
          <w:highlight w:val="none"/>
        </w:rPr>
        <w:t>.</w:t>
      </w:r>
      <w:r>
        <w:rPr>
          <w:rFonts w:hint="eastAsia" w:ascii="仿宋" w:hAnsi="仿宋" w:eastAsia="仿宋"/>
          <w:sz w:val="28"/>
          <w:szCs w:val="28"/>
          <w:highlight w:val="none"/>
        </w:rPr>
        <w:t>掌握金属切削基础知识及刀具等相关知识；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ascii="仿宋" w:hAnsi="仿宋" w:eastAsia="仿宋"/>
          <w:sz w:val="28"/>
          <w:szCs w:val="28"/>
          <w:highlight w:val="none"/>
        </w:rPr>
        <w:t>.</w:t>
      </w:r>
      <w:r>
        <w:rPr>
          <w:rFonts w:hint="eastAsia" w:ascii="仿宋" w:hAnsi="仿宋" w:eastAsia="仿宋"/>
          <w:sz w:val="28"/>
          <w:szCs w:val="28"/>
          <w:highlight w:val="none"/>
        </w:rPr>
        <w:t>掌握机械制造工艺与夹具设计相关知识;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8</w:t>
      </w:r>
      <w:r>
        <w:rPr>
          <w:rFonts w:ascii="仿宋" w:hAnsi="仿宋" w:eastAsia="仿宋"/>
          <w:sz w:val="28"/>
          <w:szCs w:val="28"/>
          <w:highlight w:val="none"/>
        </w:rPr>
        <w:t>.</w:t>
      </w:r>
      <w:r>
        <w:rPr>
          <w:rFonts w:hint="eastAsia" w:ascii="仿宋" w:hAnsi="仿宋" w:eastAsia="仿宋"/>
          <w:sz w:val="28"/>
          <w:szCs w:val="28"/>
          <w:highlight w:val="none"/>
        </w:rPr>
        <w:t>初步掌握数控机床控制技术的相关知识；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9</w:t>
      </w:r>
      <w:r>
        <w:rPr>
          <w:rFonts w:ascii="仿宋" w:hAnsi="仿宋" w:eastAsia="仿宋"/>
          <w:sz w:val="28"/>
          <w:szCs w:val="28"/>
          <w:highlight w:val="none"/>
        </w:rPr>
        <w:t>.</w:t>
      </w:r>
      <w:r>
        <w:rPr>
          <w:rFonts w:hint="eastAsia" w:ascii="仿宋" w:hAnsi="仿宋" w:eastAsia="仿宋"/>
          <w:sz w:val="28"/>
          <w:szCs w:val="28"/>
          <w:highlight w:val="none"/>
        </w:rPr>
        <w:t>掌握数控加工手工编程和CAD/CAM自动编程的基本知识;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10</w:t>
      </w:r>
      <w:r>
        <w:rPr>
          <w:rFonts w:ascii="仿宋" w:hAnsi="仿宋" w:eastAsia="仿宋"/>
          <w:sz w:val="28"/>
          <w:szCs w:val="28"/>
          <w:highlight w:val="none"/>
        </w:rPr>
        <w:t>.</w:t>
      </w:r>
      <w:r>
        <w:rPr>
          <w:rFonts w:hint="eastAsia" w:ascii="仿宋" w:hAnsi="仿宋" w:eastAsia="仿宋"/>
          <w:sz w:val="28"/>
          <w:szCs w:val="28"/>
          <w:highlight w:val="none"/>
        </w:rPr>
        <w:t>掌握车削、铣削及车铣组合加工的工艺设计、程序编制与加工方法；</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11</w:t>
      </w:r>
      <w:r>
        <w:rPr>
          <w:rFonts w:ascii="仿宋" w:hAnsi="仿宋" w:eastAsia="仿宋"/>
          <w:sz w:val="28"/>
          <w:szCs w:val="28"/>
          <w:highlight w:val="none"/>
        </w:rPr>
        <w:t>.</w:t>
      </w:r>
      <w:r>
        <w:rPr>
          <w:rFonts w:hint="eastAsia" w:ascii="仿宋" w:hAnsi="仿宋" w:eastAsia="仿宋"/>
          <w:sz w:val="28"/>
          <w:szCs w:val="28"/>
          <w:highlight w:val="none"/>
        </w:rPr>
        <w:t>了解现代制造技术与检测的基本知识；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12</w:t>
      </w:r>
      <w:r>
        <w:rPr>
          <w:rFonts w:ascii="仿宋" w:hAnsi="仿宋" w:eastAsia="仿宋"/>
          <w:sz w:val="28"/>
          <w:szCs w:val="28"/>
          <w:highlight w:val="none"/>
        </w:rPr>
        <w:t>.</w:t>
      </w:r>
      <w:r>
        <w:rPr>
          <w:rFonts w:hint="eastAsia" w:ascii="仿宋" w:hAnsi="仿宋" w:eastAsia="仿宋"/>
          <w:sz w:val="28"/>
          <w:szCs w:val="28"/>
          <w:highlight w:val="none"/>
        </w:rPr>
        <w:t>了解多轴数控加工、智能制造单元应用的基本知识；</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13</w:t>
      </w:r>
      <w:r>
        <w:rPr>
          <w:rFonts w:ascii="仿宋" w:hAnsi="仿宋" w:eastAsia="仿宋"/>
          <w:sz w:val="28"/>
          <w:szCs w:val="28"/>
          <w:highlight w:val="none"/>
        </w:rPr>
        <w:t>.</w:t>
      </w:r>
      <w:r>
        <w:rPr>
          <w:rFonts w:hint="eastAsia" w:ascii="仿宋" w:hAnsi="仿宋" w:eastAsia="仿宋"/>
          <w:sz w:val="28"/>
          <w:szCs w:val="28"/>
          <w:highlight w:val="none"/>
        </w:rPr>
        <w:t>初步掌握产品质量管理与质量控制知识。</w:t>
      </w:r>
    </w:p>
    <w:p>
      <w:pPr>
        <w:pStyle w:val="4"/>
        <w:ind w:firstLine="400"/>
        <w:rPr>
          <w:highlight w:val="none"/>
        </w:rPr>
      </w:pPr>
    </w:p>
    <w:p>
      <w:pPr>
        <w:pStyle w:val="3"/>
        <w:ind w:firstLine="562"/>
        <w:rPr>
          <w:rFonts w:ascii="仿宋" w:hAnsi="仿宋" w:eastAsia="仿宋"/>
          <w:bCs/>
          <w:szCs w:val="28"/>
          <w:highlight w:val="none"/>
        </w:rPr>
      </w:pPr>
      <w:bookmarkStart w:id="25" w:name="_Toc31119"/>
      <w:bookmarkStart w:id="26" w:name="_Toc31339"/>
      <w:r>
        <w:rPr>
          <w:rFonts w:hint="eastAsia" w:ascii="仿宋" w:hAnsi="仿宋" w:eastAsia="仿宋"/>
          <w:bCs/>
          <w:szCs w:val="28"/>
          <w:highlight w:val="none"/>
        </w:rPr>
        <w:t>（三）能力</w:t>
      </w:r>
      <w:bookmarkEnd w:id="25"/>
      <w:bookmarkEnd w:id="26"/>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1.具有探究学习、终身学习能力，具有整合知识和综合运用知识分析问题和解决问题的能力，具备职业生涯规划能力；</w:t>
      </w:r>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2</w:t>
      </w:r>
      <w:r>
        <w:rPr>
          <w:rFonts w:ascii="仿宋" w:hAnsi="仿宋" w:eastAsia="仿宋"/>
          <w:kern w:val="2"/>
          <w:sz w:val="28"/>
          <w:szCs w:val="28"/>
          <w:highlight w:val="none"/>
        </w:rPr>
        <w:t>.</w:t>
      </w:r>
      <w:r>
        <w:rPr>
          <w:rFonts w:hint="eastAsia" w:ascii="仿宋" w:hAnsi="仿宋" w:eastAsia="仿宋"/>
          <w:kern w:val="2"/>
          <w:sz w:val="28"/>
          <w:szCs w:val="28"/>
          <w:highlight w:val="none"/>
        </w:rPr>
        <w:t>具有良好的语言表达能力、文字表达能力、沟通合作能力；</w:t>
      </w:r>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3</w:t>
      </w:r>
      <w:r>
        <w:rPr>
          <w:rFonts w:ascii="仿宋" w:hAnsi="仿宋" w:eastAsia="仿宋"/>
          <w:kern w:val="2"/>
          <w:sz w:val="28"/>
          <w:szCs w:val="28"/>
          <w:highlight w:val="none"/>
        </w:rPr>
        <w:t>.</w:t>
      </w:r>
      <w:r>
        <w:rPr>
          <w:rFonts w:hint="eastAsia" w:ascii="仿宋" w:hAnsi="仿宋" w:eastAsia="仿宋"/>
          <w:kern w:val="2"/>
          <w:sz w:val="28"/>
          <w:szCs w:val="28"/>
          <w:highlight w:val="none"/>
        </w:rPr>
        <w:t>具有适应产业数字化发展需求的基本数字技能，掌握信息技术基础知识、专业信息技术能力，基本掌握数控技术领域数字化技能；</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w:t>
      </w:r>
      <w:r>
        <w:rPr>
          <w:rFonts w:hint="eastAsia" w:ascii="仿宋" w:hAnsi="仿宋" w:eastAsia="仿宋"/>
          <w:sz w:val="28"/>
          <w:szCs w:val="28"/>
          <w:highlight w:val="none"/>
        </w:rPr>
        <w:t>能够识读中等复杂程度的机械零件图样、简单装配图样，具备运用一种CAD软件对中等复杂程度零件进行计算机辅助设计的能力;</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w:t>
      </w:r>
      <w:r>
        <w:rPr>
          <w:rFonts w:ascii="仿宋" w:hAnsi="仿宋" w:eastAsia="仿宋"/>
          <w:sz w:val="28"/>
          <w:szCs w:val="28"/>
          <w:highlight w:val="none"/>
        </w:rPr>
        <w:t>.</w:t>
      </w:r>
      <w:r>
        <w:rPr>
          <w:rFonts w:hint="eastAsia" w:ascii="仿宋" w:hAnsi="仿宋" w:eastAsia="仿宋"/>
          <w:sz w:val="28"/>
          <w:szCs w:val="28"/>
          <w:highlight w:val="none"/>
        </w:rPr>
        <w:t>具有简单机械装置设计、确定零件热处理规程的能力；</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w:t>
      </w:r>
      <w:r>
        <w:rPr>
          <w:rFonts w:ascii="仿宋" w:hAnsi="仿宋" w:eastAsia="仿宋"/>
          <w:sz w:val="28"/>
          <w:szCs w:val="28"/>
          <w:highlight w:val="none"/>
        </w:rPr>
        <w:t>.</w:t>
      </w:r>
      <w:r>
        <w:rPr>
          <w:rFonts w:hint="eastAsia" w:ascii="仿宋" w:hAnsi="仿宋" w:eastAsia="仿宋"/>
          <w:sz w:val="28"/>
          <w:szCs w:val="28"/>
          <w:highlight w:val="none"/>
        </w:rPr>
        <w:t>能够识读电气图样，运用机床控制技术的相关知识，具备电气控制技术的一般操作技能;</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ascii="仿宋" w:hAnsi="仿宋" w:eastAsia="仿宋"/>
          <w:sz w:val="28"/>
          <w:szCs w:val="28"/>
          <w:highlight w:val="none"/>
        </w:rPr>
        <w:t>.</w:t>
      </w:r>
      <w:r>
        <w:rPr>
          <w:rFonts w:hint="eastAsia" w:ascii="仿宋" w:hAnsi="仿宋" w:eastAsia="仿宋"/>
          <w:sz w:val="28"/>
          <w:szCs w:val="28"/>
          <w:highlight w:val="none"/>
        </w:rPr>
        <w:t>能够进行普通金属切削机床、刀具、量具和夹具的正确选用和使用，具备夹具设计的初步能力；</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8</w:t>
      </w:r>
      <w:r>
        <w:rPr>
          <w:rFonts w:ascii="仿宋" w:hAnsi="仿宋" w:eastAsia="仿宋"/>
          <w:sz w:val="28"/>
          <w:szCs w:val="28"/>
          <w:highlight w:val="none"/>
        </w:rPr>
        <w:t>.</w:t>
      </w:r>
      <w:r>
        <w:rPr>
          <w:rFonts w:hint="eastAsia" w:ascii="仿宋" w:hAnsi="仿宋" w:eastAsia="仿宋"/>
          <w:sz w:val="28"/>
          <w:szCs w:val="28"/>
          <w:highlight w:val="none"/>
        </w:rPr>
        <w:t>能够运用机械制造的工艺知识，完成机械加工工艺卡片的识读、编制，具备组织、生产机械产品的初步能力;</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9</w:t>
      </w:r>
      <w:r>
        <w:rPr>
          <w:rFonts w:ascii="仿宋" w:hAnsi="仿宋" w:eastAsia="仿宋"/>
          <w:sz w:val="28"/>
          <w:szCs w:val="28"/>
          <w:highlight w:val="none"/>
        </w:rPr>
        <w:t>.</w:t>
      </w:r>
      <w:r>
        <w:rPr>
          <w:rFonts w:hint="eastAsia" w:ascii="仿宋" w:hAnsi="仿宋" w:eastAsia="仿宋"/>
          <w:sz w:val="28"/>
          <w:szCs w:val="28"/>
          <w:highlight w:val="none"/>
        </w:rPr>
        <w:t>能够运用常用数控机床的种类及工艺范围等知识，进行数控机床的选用，具备操作常用数控机床的初步能力；</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10</w:t>
      </w:r>
      <w:r>
        <w:rPr>
          <w:rFonts w:ascii="仿宋" w:hAnsi="仿宋" w:eastAsia="仿宋"/>
          <w:sz w:val="28"/>
          <w:szCs w:val="28"/>
          <w:highlight w:val="none"/>
        </w:rPr>
        <w:t>.</w:t>
      </w:r>
      <w:r>
        <w:rPr>
          <w:rFonts w:hint="eastAsia" w:ascii="仿宋" w:hAnsi="仿宋" w:eastAsia="仿宋"/>
          <w:sz w:val="28"/>
          <w:szCs w:val="28"/>
          <w:highlight w:val="none"/>
        </w:rPr>
        <w:t>能够运用数控</w:t>
      </w:r>
      <w:r>
        <w:rPr>
          <w:rFonts w:hint="eastAsia" w:ascii="仿宋" w:hAnsi="仿宋" w:eastAsia="仿宋"/>
          <w:sz w:val="28"/>
          <w:szCs w:val="28"/>
          <w:highlight w:val="none"/>
          <w:lang w:eastAsia="zh-CN"/>
        </w:rPr>
        <w:t>车削</w:t>
      </w:r>
      <w:r>
        <w:rPr>
          <w:rFonts w:hint="eastAsia" w:ascii="仿宋" w:hAnsi="仿宋" w:eastAsia="仿宋"/>
          <w:sz w:val="28"/>
          <w:szCs w:val="28"/>
          <w:highlight w:val="none"/>
        </w:rPr>
        <w:t>的工艺分析与编程技术，熟练地手工编制中等复杂程度机械零件的数控加工工艺；</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11</w:t>
      </w:r>
      <w:r>
        <w:rPr>
          <w:rFonts w:ascii="仿宋" w:hAnsi="仿宋" w:eastAsia="仿宋"/>
          <w:sz w:val="28"/>
          <w:szCs w:val="28"/>
          <w:highlight w:val="none"/>
        </w:rPr>
        <w:t>.</w:t>
      </w:r>
      <w:r>
        <w:rPr>
          <w:rFonts w:hint="eastAsia" w:ascii="仿宋" w:hAnsi="仿宋" w:eastAsia="仿宋"/>
          <w:sz w:val="28"/>
          <w:szCs w:val="28"/>
          <w:highlight w:val="none"/>
        </w:rPr>
        <w:t>能够运用手工编程和CAD/CAM自动编程的基本知识，采用一种常见CAD/CAM软件及其使用技巧，手工或自动编程软件编制较复杂零件的数控加工程序；</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2.</w:t>
      </w:r>
      <w:r>
        <w:rPr>
          <w:rFonts w:hint="eastAsia" w:ascii="仿宋" w:hAnsi="仿宋" w:eastAsia="仿宋"/>
          <w:sz w:val="28"/>
          <w:szCs w:val="28"/>
          <w:highlight w:val="none"/>
        </w:rPr>
        <w:t>能够运用产品质量管理和质量控制相关知识，对机械制造类企业生产一线的产品质量进行检验、分析、管理和控制；</w:t>
      </w:r>
    </w:p>
    <w:p>
      <w:pPr>
        <w:overflowPunct w:val="0"/>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3</w:t>
      </w:r>
      <w:r>
        <w:rPr>
          <w:rFonts w:ascii="仿宋" w:hAnsi="仿宋" w:eastAsia="仿宋"/>
          <w:sz w:val="28"/>
          <w:szCs w:val="28"/>
          <w:highlight w:val="none"/>
        </w:rPr>
        <w:t>.</w:t>
      </w:r>
      <w:r>
        <w:rPr>
          <w:rFonts w:hint="eastAsia" w:ascii="仿宋" w:hAnsi="仿宋" w:eastAsia="仿宋"/>
          <w:sz w:val="28"/>
          <w:szCs w:val="28"/>
          <w:highlight w:val="none"/>
        </w:rPr>
        <w:t>具备车工（数控）高级职业技能等级的专业技能，通过考核鉴定，取得相应的职业技能等级证书；</w:t>
      </w:r>
    </w:p>
    <w:p>
      <w:pPr>
        <w:overflowPunct w:val="0"/>
        <w:spacing w:line="500" w:lineRule="exact"/>
        <w:ind w:firstLine="560" w:firstLineChars="200"/>
        <w:rPr>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4</w:t>
      </w:r>
      <w:r>
        <w:rPr>
          <w:rFonts w:ascii="仿宋" w:hAnsi="仿宋" w:eastAsia="仿宋"/>
          <w:sz w:val="28"/>
          <w:szCs w:val="28"/>
          <w:highlight w:val="none"/>
        </w:rPr>
        <w:t>.</w:t>
      </w:r>
      <w:r>
        <w:rPr>
          <w:rFonts w:hint="eastAsia" w:ascii="仿宋" w:hAnsi="仿宋" w:eastAsia="仿宋"/>
          <w:sz w:val="28"/>
          <w:szCs w:val="28"/>
          <w:highlight w:val="none"/>
        </w:rPr>
        <w:t>具有生产制造领域相关法律法规意识，具有绿色生产、环境保护、安全防护的意识。</w:t>
      </w:r>
    </w:p>
    <w:p>
      <w:pPr>
        <w:pStyle w:val="2"/>
        <w:spacing w:before="120" w:after="120" w:line="500" w:lineRule="exact"/>
        <w:ind w:firstLine="560"/>
        <w:rPr>
          <w:b w:val="0"/>
          <w:bCs w:val="0"/>
          <w:sz w:val="28"/>
          <w:szCs w:val="28"/>
          <w:highlight w:val="none"/>
        </w:rPr>
      </w:pPr>
      <w:bookmarkStart w:id="27" w:name="_Toc12031"/>
      <w:bookmarkStart w:id="28" w:name="_Toc12249"/>
      <w:bookmarkStart w:id="29" w:name="_Toc17411"/>
      <w:bookmarkStart w:id="30" w:name="_Toc1492"/>
      <w:r>
        <w:rPr>
          <w:rFonts w:hint="eastAsia"/>
          <w:b w:val="0"/>
          <w:bCs w:val="0"/>
          <w:sz w:val="28"/>
          <w:szCs w:val="28"/>
          <w:highlight w:val="none"/>
        </w:rPr>
        <w:t>七、课程设置</w:t>
      </w:r>
      <w:bookmarkEnd w:id="27"/>
      <w:bookmarkEnd w:id="28"/>
    </w:p>
    <w:bookmarkEnd w:id="29"/>
    <w:bookmarkEnd w:id="30"/>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本专业包括公共基础课程、专业课程等。</w:t>
      </w:r>
    </w:p>
    <w:p>
      <w:pPr>
        <w:pStyle w:val="3"/>
        <w:spacing w:line="500" w:lineRule="exact"/>
        <w:ind w:firstLine="562"/>
        <w:rPr>
          <w:rFonts w:hint="eastAsia" w:ascii="仿宋" w:hAnsi="仿宋" w:eastAsia="仿宋"/>
          <w:kern w:val="2"/>
          <w:sz w:val="28"/>
          <w:szCs w:val="28"/>
          <w:highlight w:val="none"/>
        </w:rPr>
      </w:pPr>
      <w:bookmarkStart w:id="31" w:name="_Toc14278"/>
      <w:bookmarkStart w:id="32" w:name="_Toc26657"/>
      <w:r>
        <w:rPr>
          <w:rFonts w:hint="eastAsia" w:ascii="仿宋" w:hAnsi="仿宋" w:eastAsia="仿宋"/>
          <w:bCs/>
          <w:szCs w:val="28"/>
          <w:highlight w:val="none"/>
        </w:rPr>
        <w:t>（一）公共基础课程</w:t>
      </w:r>
      <w:bookmarkEnd w:id="31"/>
      <w:bookmarkEnd w:id="32"/>
      <w:bookmarkStart w:id="33" w:name="_Toc10586"/>
    </w:p>
    <w:p>
      <w:pPr>
        <w:pStyle w:val="4"/>
        <w:spacing w:line="500" w:lineRule="exact"/>
        <w:ind w:firstLine="560"/>
        <w:rPr>
          <w:rFonts w:ascii="仿宋" w:hAnsi="仿宋" w:eastAsia="仿宋"/>
          <w:kern w:val="2"/>
          <w:sz w:val="28"/>
          <w:szCs w:val="28"/>
        </w:rPr>
      </w:pPr>
      <w:r>
        <w:rPr>
          <w:rFonts w:hint="eastAsia" w:ascii="仿宋" w:hAnsi="仿宋" w:eastAsia="仿宋"/>
          <w:kern w:val="2"/>
          <w:sz w:val="28"/>
          <w:szCs w:val="28"/>
        </w:rPr>
        <w:t>按照国家、省、学院有关规定开齐开足公共基础课程，包括中国特色社会主义、心理健康与职业生涯、哲学与人生、职业道德与法治、思想道德与法治、毛泽东思想和中国特色社会主义理论体系概论、习近平新时代中国特色社会主义思想概论、形势与政策等思想政治理论课程和语文、数学、英语、信息技术、体育与健康、艺术</w:t>
      </w:r>
      <w:r>
        <w:rPr>
          <w:rFonts w:hint="eastAsia" w:ascii="仿宋" w:hAnsi="仿宋" w:eastAsia="仿宋"/>
          <w:sz w:val="28"/>
          <w:szCs w:val="28"/>
        </w:rPr>
        <w:t>（音乐、美术）</w:t>
      </w:r>
      <w:r>
        <w:rPr>
          <w:rFonts w:hint="eastAsia" w:ascii="仿宋" w:hAnsi="仿宋" w:eastAsia="仿宋"/>
          <w:kern w:val="2"/>
          <w:sz w:val="28"/>
          <w:szCs w:val="28"/>
        </w:rPr>
        <w:t>、历史等必修课程；物理、化学、地理、生物等限选课程；体现本地区、本校优势特色的人文素养、科学技术、艺术体育、创新创业、专本衔接等任选课程。</w:t>
      </w:r>
    </w:p>
    <w:p>
      <w:pPr>
        <w:pStyle w:val="4"/>
        <w:spacing w:line="500" w:lineRule="exact"/>
        <w:ind w:firstLine="560"/>
        <w:rPr>
          <w:rFonts w:hint="eastAsia" w:ascii="仿宋" w:hAnsi="仿宋" w:eastAsia="仿宋" w:cs="仿宋"/>
          <w:sz w:val="28"/>
          <w:szCs w:val="28"/>
          <w:highlight w:val="none"/>
        </w:rPr>
      </w:pPr>
      <w:r>
        <w:rPr>
          <w:rFonts w:hint="eastAsia" w:ascii="仿宋" w:hAnsi="仿宋" w:eastAsia="仿宋"/>
          <w:kern w:val="2"/>
          <w:sz w:val="28"/>
          <w:szCs w:val="28"/>
        </w:rPr>
        <w:t>我校根据国家和省、学院有关规定，结合专业实际情况开设创业与就业教育、中华优秀传统文化等限选课程。结合专业情况，在物理、地理、化学、生物选择1门物理作为必修课。课程设置参考《公共基础任选课程设置参考表》。</w:t>
      </w:r>
    </w:p>
    <w:p>
      <w:pPr>
        <w:overflowPunct w:val="0"/>
        <w:spacing w:line="500" w:lineRule="exact"/>
        <w:jc w:val="center"/>
        <w:rPr>
          <w:rFonts w:hint="eastAsia" w:ascii="Times New Roman" w:hAnsi="Times New Roman" w:eastAsia="楷体" w:cs="楷体"/>
          <w:sz w:val="28"/>
          <w:szCs w:val="28"/>
          <w:highlight w:val="none"/>
          <w:lang w:val="en-US" w:eastAsia="zh-CN"/>
        </w:rPr>
      </w:pPr>
      <w:r>
        <w:rPr>
          <w:rFonts w:hint="eastAsia" w:ascii="Times New Roman" w:hAnsi="Times New Roman" w:eastAsia="楷体" w:cs="楷体"/>
          <w:sz w:val="28"/>
          <w:szCs w:val="28"/>
          <w:highlight w:val="none"/>
          <w:lang w:val="en-US" w:eastAsia="zh-CN"/>
        </w:rPr>
        <w:t>表：公共基础任选课程设置参考</w:t>
      </w:r>
    </w:p>
    <w:tbl>
      <w:tblPr>
        <w:tblStyle w:val="1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410"/>
        <w:gridCol w:w="2908"/>
        <w:gridCol w:w="1365"/>
        <w:gridCol w:w="94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pStyle w:val="4"/>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开设学期</w:t>
            </w:r>
          </w:p>
        </w:tc>
        <w:tc>
          <w:tcPr>
            <w:tcW w:w="1410" w:type="dxa"/>
            <w:vAlign w:val="top"/>
          </w:tcPr>
          <w:p>
            <w:pPr>
              <w:pStyle w:val="4"/>
              <w:ind w:left="0" w:leftChars="0" w:firstLine="0" w:firstLineChars="0"/>
              <w:jc w:val="center"/>
              <w:rPr>
                <w:rFonts w:hint="eastAsia" w:ascii="宋体" w:hAnsi="宋体" w:eastAsia="宋体" w:cs="宋体"/>
                <w:b/>
                <w:bCs/>
                <w:kern w:val="0"/>
                <w:sz w:val="21"/>
                <w:szCs w:val="21"/>
                <w:vertAlign w:val="baseline"/>
                <w:lang w:val="en-US" w:eastAsia="zh-CN" w:bidi="ar-SA"/>
              </w:rPr>
            </w:pPr>
            <w:r>
              <w:rPr>
                <w:rFonts w:hint="eastAsia" w:ascii="宋体" w:hAnsi="宋体" w:eastAsia="宋体" w:cs="宋体"/>
                <w:b/>
                <w:bCs/>
                <w:kern w:val="0"/>
                <w:sz w:val="21"/>
                <w:szCs w:val="21"/>
                <w:vertAlign w:val="baseline"/>
                <w:lang w:val="en-US" w:eastAsia="zh-CN" w:bidi="ar-SA"/>
              </w:rPr>
              <w:t>模块</w:t>
            </w:r>
          </w:p>
        </w:tc>
        <w:tc>
          <w:tcPr>
            <w:tcW w:w="2908" w:type="dxa"/>
          </w:tcPr>
          <w:p>
            <w:pPr>
              <w:pStyle w:val="4"/>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课程名称</w:t>
            </w:r>
          </w:p>
        </w:tc>
        <w:tc>
          <w:tcPr>
            <w:tcW w:w="1365" w:type="dxa"/>
          </w:tcPr>
          <w:p>
            <w:pPr>
              <w:pStyle w:val="4"/>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要求</w:t>
            </w:r>
          </w:p>
        </w:tc>
        <w:tc>
          <w:tcPr>
            <w:tcW w:w="945" w:type="dxa"/>
            <w:vAlign w:val="top"/>
          </w:tcPr>
          <w:p>
            <w:pPr>
              <w:pStyle w:val="4"/>
              <w:ind w:left="0" w:leftChars="0" w:firstLine="0" w:firstLineChars="0"/>
              <w:jc w:val="center"/>
              <w:rPr>
                <w:rFonts w:hint="eastAsia" w:ascii="宋体" w:hAnsi="宋体" w:eastAsia="宋体" w:cs="宋体"/>
                <w:b/>
                <w:bCs/>
                <w:kern w:val="0"/>
                <w:sz w:val="21"/>
                <w:szCs w:val="21"/>
                <w:vertAlign w:val="baseline"/>
                <w:lang w:val="en-US" w:eastAsia="zh-CN" w:bidi="ar-SA"/>
              </w:rPr>
            </w:pPr>
            <w:r>
              <w:rPr>
                <w:rFonts w:hint="eastAsia" w:ascii="宋体" w:hAnsi="宋体" w:eastAsia="宋体" w:cs="宋体"/>
                <w:b/>
                <w:bCs/>
                <w:sz w:val="21"/>
                <w:szCs w:val="21"/>
                <w:vertAlign w:val="baseline"/>
                <w:lang w:val="en-US" w:eastAsia="zh-CN"/>
              </w:rPr>
              <w:t>周学时</w:t>
            </w:r>
          </w:p>
        </w:tc>
        <w:tc>
          <w:tcPr>
            <w:tcW w:w="795" w:type="dxa"/>
            <w:vAlign w:val="top"/>
          </w:tcPr>
          <w:p>
            <w:pPr>
              <w:pStyle w:val="4"/>
              <w:ind w:left="0" w:leftChars="0" w:firstLine="0" w:firstLineChars="0"/>
              <w:jc w:val="center"/>
              <w:rPr>
                <w:rFonts w:hint="eastAsia" w:ascii="宋体" w:hAnsi="宋体" w:eastAsia="宋体" w:cs="宋体"/>
                <w:b/>
                <w:bCs/>
                <w:kern w:val="0"/>
                <w:sz w:val="21"/>
                <w:szCs w:val="21"/>
                <w:vertAlign w:val="baseline"/>
                <w:lang w:val="en-US" w:eastAsia="zh-CN" w:bidi="ar-SA"/>
              </w:rPr>
            </w:pPr>
            <w:r>
              <w:rPr>
                <w:rFonts w:hint="eastAsia" w:ascii="宋体" w:hAnsi="宋体" w:eastAsia="宋体" w:cs="宋体"/>
                <w:b/>
                <w:bCs/>
                <w:sz w:val="21"/>
                <w:szCs w:val="21"/>
                <w:vertAlign w:val="baseline"/>
                <w:lang w:val="en-US"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六</w:t>
            </w:r>
          </w:p>
        </w:tc>
        <w:tc>
          <w:tcPr>
            <w:tcW w:w="1410"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知识拓展</w:t>
            </w: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中华优秀传统文化</w:t>
            </w:r>
          </w:p>
        </w:tc>
        <w:tc>
          <w:tcPr>
            <w:tcW w:w="136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限选1门</w:t>
            </w:r>
          </w:p>
        </w:tc>
        <w:tc>
          <w:tcPr>
            <w:tcW w:w="945"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795"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1410" w:type="dxa"/>
            <w:vMerge w:val="continue"/>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文学欣赏</w:t>
            </w:r>
          </w:p>
        </w:tc>
        <w:tc>
          <w:tcPr>
            <w:tcW w:w="136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94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7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八</w:t>
            </w:r>
          </w:p>
        </w:tc>
        <w:tc>
          <w:tcPr>
            <w:tcW w:w="1410"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知识拓展</w:t>
            </w: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创业与就业教育</w:t>
            </w:r>
          </w:p>
        </w:tc>
        <w:tc>
          <w:tcPr>
            <w:tcW w:w="136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限选1门</w:t>
            </w:r>
          </w:p>
        </w:tc>
        <w:tc>
          <w:tcPr>
            <w:tcW w:w="94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7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1410" w:type="dxa"/>
            <w:vMerge w:val="continue"/>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科技论文写作</w:t>
            </w:r>
          </w:p>
        </w:tc>
        <w:tc>
          <w:tcPr>
            <w:tcW w:w="136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94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7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八</w:t>
            </w:r>
          </w:p>
        </w:tc>
        <w:tc>
          <w:tcPr>
            <w:tcW w:w="1410"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知识拓展</w:t>
            </w: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戏剧</w:t>
            </w:r>
          </w:p>
        </w:tc>
        <w:tc>
          <w:tcPr>
            <w:tcW w:w="136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限选1门</w:t>
            </w:r>
          </w:p>
        </w:tc>
        <w:tc>
          <w:tcPr>
            <w:tcW w:w="94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7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1410" w:type="dxa"/>
            <w:vMerge w:val="continue"/>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影视</w:t>
            </w:r>
          </w:p>
        </w:tc>
        <w:tc>
          <w:tcPr>
            <w:tcW w:w="136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94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7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w:t>
            </w:r>
          </w:p>
        </w:tc>
        <w:tc>
          <w:tcPr>
            <w:tcW w:w="1410"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知识拓展</w:t>
            </w: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安全教育</w:t>
            </w:r>
          </w:p>
        </w:tc>
        <w:tc>
          <w:tcPr>
            <w:tcW w:w="136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限选1门</w:t>
            </w:r>
          </w:p>
        </w:tc>
        <w:tc>
          <w:tcPr>
            <w:tcW w:w="94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7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1410" w:type="dxa"/>
            <w:vMerge w:val="continue"/>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礼仪规范</w:t>
            </w:r>
          </w:p>
        </w:tc>
        <w:tc>
          <w:tcPr>
            <w:tcW w:w="136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94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795" w:type="dxa"/>
            <w:vMerge w:val="continue"/>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八</w:t>
            </w:r>
          </w:p>
        </w:tc>
        <w:tc>
          <w:tcPr>
            <w:tcW w:w="1410" w:type="dxa"/>
            <w:vMerge w:val="restart"/>
            <w:vAlign w:val="center"/>
          </w:tcPr>
          <w:p>
            <w:pPr>
              <w:pStyle w:val="4"/>
              <w:ind w:left="0" w:leftChars="0" w:firstLine="0" w:firstLine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知识拓展</w:t>
            </w:r>
          </w:p>
        </w:tc>
        <w:tc>
          <w:tcPr>
            <w:tcW w:w="2908" w:type="dxa"/>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书法</w:t>
            </w:r>
          </w:p>
        </w:tc>
        <w:tc>
          <w:tcPr>
            <w:tcW w:w="136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限选1门</w:t>
            </w:r>
          </w:p>
        </w:tc>
        <w:tc>
          <w:tcPr>
            <w:tcW w:w="94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95" w:type="dxa"/>
            <w:vMerge w:val="restart"/>
            <w:vAlign w:val="center"/>
          </w:tcPr>
          <w:p>
            <w:pPr>
              <w:pStyle w:val="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Pr>
          <w:p>
            <w:pPr>
              <w:pStyle w:val="4"/>
              <w:ind w:left="0" w:leftChars="0" w:firstLine="0" w:firstLineChars="0"/>
              <w:jc w:val="center"/>
              <w:rPr>
                <w:rFonts w:hint="default" w:ascii="仿宋" w:hAnsi="仿宋" w:eastAsia="仿宋"/>
                <w:sz w:val="28"/>
                <w:szCs w:val="28"/>
                <w:vertAlign w:val="baseline"/>
                <w:lang w:val="en-US" w:eastAsia="zh-CN"/>
              </w:rPr>
            </w:pPr>
          </w:p>
        </w:tc>
        <w:tc>
          <w:tcPr>
            <w:tcW w:w="1410" w:type="dxa"/>
            <w:vMerge w:val="continue"/>
            <w:vAlign w:val="top"/>
          </w:tcPr>
          <w:p>
            <w:pPr>
              <w:pStyle w:val="4"/>
              <w:ind w:left="0" w:leftChars="0" w:firstLine="0" w:firstLineChars="0"/>
              <w:jc w:val="center"/>
              <w:rPr>
                <w:rFonts w:hint="eastAsia" w:ascii="仿宋" w:hAnsi="仿宋" w:eastAsia="仿宋" w:cstheme="minorBidi"/>
                <w:kern w:val="0"/>
                <w:sz w:val="28"/>
                <w:szCs w:val="28"/>
                <w:vertAlign w:val="baseline"/>
                <w:lang w:val="en-US" w:eastAsia="zh-CN" w:bidi="ar-SA"/>
              </w:rPr>
            </w:pPr>
          </w:p>
        </w:tc>
        <w:tc>
          <w:tcPr>
            <w:tcW w:w="2908" w:type="dxa"/>
            <w:vAlign w:val="top"/>
          </w:tcPr>
          <w:p>
            <w:pPr>
              <w:pStyle w:val="4"/>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摄影</w:t>
            </w:r>
          </w:p>
        </w:tc>
        <w:tc>
          <w:tcPr>
            <w:tcW w:w="1365" w:type="dxa"/>
            <w:vMerge w:val="continue"/>
          </w:tcPr>
          <w:p>
            <w:pPr>
              <w:pStyle w:val="4"/>
              <w:ind w:left="0" w:leftChars="0" w:firstLine="0" w:firstLineChars="0"/>
              <w:jc w:val="center"/>
              <w:rPr>
                <w:rFonts w:hint="eastAsia" w:ascii="宋体" w:hAnsi="宋体" w:eastAsia="宋体" w:cs="宋体"/>
                <w:sz w:val="21"/>
                <w:szCs w:val="21"/>
                <w:vertAlign w:val="baseline"/>
                <w:lang w:val="en-US" w:eastAsia="zh-CN"/>
              </w:rPr>
            </w:pPr>
          </w:p>
        </w:tc>
        <w:tc>
          <w:tcPr>
            <w:tcW w:w="945" w:type="dxa"/>
            <w:vMerge w:val="continue"/>
          </w:tcPr>
          <w:p>
            <w:pPr>
              <w:pStyle w:val="4"/>
              <w:ind w:left="0" w:leftChars="0" w:firstLine="0" w:firstLineChars="0"/>
              <w:jc w:val="center"/>
              <w:rPr>
                <w:rFonts w:hint="eastAsia" w:ascii="仿宋" w:hAnsi="仿宋" w:eastAsia="仿宋"/>
                <w:sz w:val="28"/>
                <w:szCs w:val="28"/>
                <w:vertAlign w:val="baseline"/>
                <w:lang w:val="en-US" w:eastAsia="zh-CN"/>
              </w:rPr>
            </w:pPr>
          </w:p>
        </w:tc>
        <w:tc>
          <w:tcPr>
            <w:tcW w:w="795" w:type="dxa"/>
            <w:vMerge w:val="continue"/>
          </w:tcPr>
          <w:p>
            <w:pPr>
              <w:pStyle w:val="4"/>
              <w:ind w:left="0" w:leftChars="0" w:firstLine="0" w:firstLineChars="0"/>
              <w:jc w:val="center"/>
              <w:rPr>
                <w:rFonts w:hint="eastAsia" w:ascii="仿宋" w:hAnsi="仿宋" w:eastAsia="仿宋"/>
                <w:sz w:val="28"/>
                <w:szCs w:val="28"/>
                <w:vertAlign w:val="baseline"/>
                <w:lang w:val="en-US" w:eastAsia="zh-CN"/>
              </w:rPr>
            </w:pPr>
          </w:p>
        </w:tc>
      </w:tr>
    </w:tbl>
    <w:p>
      <w:pPr>
        <w:pStyle w:val="3"/>
        <w:spacing w:line="500" w:lineRule="exact"/>
        <w:ind w:left="0" w:leftChars="0" w:firstLine="281" w:firstLineChars="100"/>
        <w:rPr>
          <w:rFonts w:ascii="仿宋" w:hAnsi="仿宋" w:eastAsia="仿宋"/>
          <w:bCs/>
          <w:szCs w:val="28"/>
          <w:highlight w:val="none"/>
        </w:rPr>
      </w:pPr>
      <w:bookmarkStart w:id="34" w:name="_Toc2051"/>
      <w:r>
        <w:rPr>
          <w:rFonts w:hint="eastAsia" w:ascii="仿宋" w:hAnsi="仿宋" w:eastAsia="仿宋"/>
          <w:bCs/>
          <w:szCs w:val="28"/>
          <w:highlight w:val="none"/>
        </w:rPr>
        <w:t>（二）专业课程</w:t>
      </w:r>
      <w:bookmarkEnd w:id="33"/>
      <w:bookmarkEnd w:id="34"/>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专业课程包括专业平台课程、专业核心课程、专业拓展课程和技能实训课程等。</w:t>
      </w:r>
    </w:p>
    <w:p>
      <w:pPr>
        <w:pStyle w:val="4"/>
        <w:spacing w:line="500" w:lineRule="exact"/>
        <w:ind w:firstLine="560"/>
        <w:rPr>
          <w:rFonts w:ascii="仿宋" w:hAnsi="仿宋" w:eastAsia="仿宋"/>
          <w:kern w:val="2"/>
          <w:sz w:val="28"/>
          <w:szCs w:val="28"/>
          <w:highlight w:val="none"/>
        </w:rPr>
      </w:pPr>
      <w:bookmarkStart w:id="35" w:name="_Hlk54185940"/>
      <w:r>
        <w:rPr>
          <w:rFonts w:ascii="仿宋" w:hAnsi="仿宋" w:eastAsia="仿宋"/>
          <w:kern w:val="2"/>
          <w:sz w:val="28"/>
          <w:szCs w:val="28"/>
          <w:highlight w:val="none"/>
        </w:rPr>
        <w:t>1.</w:t>
      </w:r>
      <w:bookmarkEnd w:id="35"/>
      <w:r>
        <w:rPr>
          <w:rFonts w:hint="eastAsia" w:ascii="仿宋" w:hAnsi="仿宋" w:eastAsia="仿宋"/>
          <w:kern w:val="2"/>
          <w:sz w:val="28"/>
          <w:szCs w:val="28"/>
          <w:highlight w:val="none"/>
        </w:rPr>
        <w:t>专业平台课程</w:t>
      </w:r>
    </w:p>
    <w:p>
      <w:pPr>
        <w:pStyle w:val="4"/>
        <w:spacing w:line="500" w:lineRule="exact"/>
        <w:ind w:firstLine="560"/>
        <w:rPr>
          <w:rFonts w:ascii="仿宋" w:hAnsi="仿宋" w:eastAsia="仿宋"/>
          <w:kern w:val="2"/>
          <w:sz w:val="28"/>
          <w:szCs w:val="28"/>
          <w:highlight w:val="none"/>
        </w:rPr>
      </w:pPr>
      <w:r>
        <w:rPr>
          <w:rFonts w:hint="eastAsia" w:ascii="仿宋" w:hAnsi="仿宋" w:eastAsia="仿宋"/>
          <w:kern w:val="2"/>
          <w:sz w:val="28"/>
          <w:szCs w:val="28"/>
          <w:highlight w:val="none"/>
        </w:rPr>
        <w:t>专业平台课程的设置应注重培养学生专业基础素质与能力，为专业核心课程的学习奠定基础。包括</w:t>
      </w:r>
      <w:r>
        <w:rPr>
          <w:rFonts w:hint="eastAsia" w:ascii="仿宋" w:hAnsi="仿宋" w:eastAsia="仿宋"/>
          <w:sz w:val="28"/>
          <w:szCs w:val="28"/>
          <w:highlight w:val="none"/>
        </w:rPr>
        <w:t>机械制图及CAD技术基础、机械测绘与CAD技术训练、机械制造技术基础、机械加工技术训练、公差配合与测量技术、机械设计基础、电工技术训练、电子技术训练、电工电子技术基础、数控加工工艺与编程技术基础、液压与气压传动、质量管理与控制技术基础</w:t>
      </w:r>
      <w:r>
        <w:rPr>
          <w:rFonts w:hint="eastAsia" w:ascii="仿宋" w:hAnsi="仿宋" w:eastAsia="仿宋"/>
          <w:kern w:val="2"/>
          <w:sz w:val="28"/>
          <w:szCs w:val="28"/>
          <w:highlight w:val="none"/>
        </w:rPr>
        <w:t>等必修课程。</w:t>
      </w:r>
    </w:p>
    <w:p>
      <w:pPr>
        <w:overflowPunct w:val="0"/>
        <w:spacing w:line="500" w:lineRule="exact"/>
        <w:jc w:val="center"/>
        <w:rPr>
          <w:rFonts w:ascii="Times New Roman" w:hAnsi="Times New Roman" w:eastAsia="楷体" w:cs="楷体"/>
          <w:sz w:val="28"/>
          <w:szCs w:val="28"/>
          <w:highlight w:val="none"/>
        </w:rPr>
      </w:pPr>
      <w:r>
        <w:rPr>
          <w:rFonts w:hint="eastAsia" w:ascii="Times New Roman" w:hAnsi="Times New Roman" w:eastAsia="楷体" w:cs="楷体"/>
          <w:sz w:val="28"/>
          <w:szCs w:val="28"/>
          <w:highlight w:val="none"/>
        </w:rPr>
        <w:t>表：专业平台课程主要教学内容与要求</w:t>
      </w:r>
    </w:p>
    <w:tbl>
      <w:tblPr>
        <w:tblStyle w:val="12"/>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843"/>
        <w:gridCol w:w="29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843"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544"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p>
        </w:tc>
        <w:tc>
          <w:tcPr>
            <w:tcW w:w="1843"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机械制图与CAD技术基础</w:t>
            </w:r>
          </w:p>
          <w:p>
            <w:pPr>
              <w:snapToGrid w:val="0"/>
              <w:ind w:firstLine="105" w:firstLineChars="5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w:t>
            </w:r>
            <w:r>
              <w:rPr>
                <w:rFonts w:hint="eastAsia" w:asciiTheme="minorEastAsia" w:hAnsiTheme="minorEastAsia" w:eastAsiaTheme="minorEastAsia"/>
                <w:sz w:val="21"/>
                <w:szCs w:val="21"/>
                <w:highlight w:val="none"/>
                <w:lang w:val="en-US" w:eastAsia="zh-CN"/>
              </w:rPr>
              <w:t>0</w:t>
            </w:r>
            <w:r>
              <w:rPr>
                <w:rFonts w:hint="eastAsia" w:asciiTheme="minorEastAsia" w:hAnsiTheme="minorEastAsia" w:eastAsiaTheme="minorEastAsia"/>
                <w:sz w:val="21"/>
                <w:szCs w:val="21"/>
                <w:highlight w:val="none"/>
              </w:rPr>
              <w:t>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机械制图的基础知识与技能；AutoCAD绘图基础；正投影法与基本形体的视图；组合体视图；机件的常用表达方法；常用件与标准件的表达；零件图；装配图</w:t>
            </w:r>
          </w:p>
        </w:tc>
        <w:tc>
          <w:tcPr>
            <w:tcW w:w="3544"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熟悉机械制图国家标准；掌握机械制图一般技巧与方法；具备识读较复杂程度机械零件图和简单装配图的能力；具备机械零件测绘的初步能力；</w:t>
            </w:r>
          </w:p>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具备识读第三角投影机械图样的初步能力；具备熟练运用一种CAD软件绘中等复杂程度机械图样的能力；培养学生的基础职业素质和职业技能</w:t>
            </w:r>
          </w:p>
        </w:tc>
      </w:tr>
    </w:tbl>
    <w:p>
      <w:pPr>
        <w:overflowPunct w:val="0"/>
        <w:spacing w:line="500" w:lineRule="exact"/>
        <w:ind w:firstLine="600"/>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tbl>
      <w:tblPr>
        <w:tblStyle w:val="12"/>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843"/>
        <w:gridCol w:w="29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843"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544"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p>
        </w:tc>
        <w:tc>
          <w:tcPr>
            <w:tcW w:w="1843" w:type="dxa"/>
            <w:vAlign w:val="center"/>
          </w:tcPr>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机械测绘与CAD技术训练</w:t>
            </w:r>
          </w:p>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（1周</w:t>
            </w:r>
            <w:r>
              <w:rPr>
                <w:rFonts w:asciiTheme="minorEastAsia" w:hAnsiTheme="minorEastAsia" w:eastAsiaTheme="minorEastAsia"/>
                <w:sz w:val="21"/>
                <w:szCs w:val="21"/>
                <w:highlight w:val="none"/>
              </w:rPr>
              <w:t>）</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测绘的目的、要求和工作任务；用基本测量工具油标卡尺、千分尺、内径百分表等测量直线尺寸、回转面直径、壁厚、圆角等几何要素；测量数据处理的基本方法；机械测绘的工作方法与步骤；齿轮泵与一级直齿圆柱齿轮减速器的测绘；使用CAD软件绘制装配图、零件图并科学、合理地提出技术要求</w:t>
            </w:r>
          </w:p>
        </w:tc>
        <w:tc>
          <w:tcPr>
            <w:tcW w:w="3544" w:type="dxa"/>
            <w:vAlign w:val="center"/>
          </w:tcPr>
          <w:p>
            <w:pPr>
              <w:snapToGrid w:val="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了解机械测绘技术的相关知识；能使用常见的测量工具对常见机械零件的一般几何量进行技术测量；会绘制装配件的装配示意图；）能徒手画出零件、装配件草图；能操作CAD软件正确绘制机械零件图、装配图</w:t>
            </w:r>
            <w:r>
              <w:rPr>
                <w:rFonts w:hint="eastAsia" w:asciiTheme="minorEastAsia" w:hAnsiTheme="minorEastAsia" w:eastAsiaTheme="minorEastAsia"/>
                <w:sz w:val="21"/>
                <w:szCs w:val="21"/>
                <w:highlight w:val="none"/>
                <w:lang w:eastAsia="zh-CN"/>
              </w:rPr>
              <w:t>，培养学生坚持真理、勇于创新、实事求是的科学态度与科学精神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p>
        </w:tc>
        <w:tc>
          <w:tcPr>
            <w:tcW w:w="1843" w:type="dxa"/>
            <w:vAlign w:val="center"/>
          </w:tcPr>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机械制造技术基础</w:t>
            </w:r>
          </w:p>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（116学时）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机械制造概述；机械工程材料；常用机构和机械传动；金属切削机床基础；金属切削基础与刀具；典型零件的加工与品质检验技术基础；先进制造技术简介</w:t>
            </w:r>
          </w:p>
        </w:tc>
        <w:tc>
          <w:tcPr>
            <w:tcW w:w="3544"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机械产品生产过程与机械加工主要工种分类及其特点；了解环境保护、节能增效、安全生产等相关知识；熟悉常用金属材料的名称、牌号、一般机械性能及使用特点等知识；熟悉极限与配合相关知识，掌握机械测量相关技能；熟悉机械切削加工主要工种的设备、工量刃具、夹具和工艺知识，初步掌握其加工技术；熟练掌握与专业相关的机械加工工种工艺分析技术，具备相应工种初级技能以上操作水平与能力；与数控技术专业专门化方向相适应的机加工工种应通过技能鉴定取得初级技能等级证书；培养学生的专业思考能力和分析问题、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w:t>
            </w:r>
          </w:p>
        </w:tc>
        <w:tc>
          <w:tcPr>
            <w:tcW w:w="1843" w:type="dxa"/>
            <w:vAlign w:val="center"/>
          </w:tcPr>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机械加工技术训练</w:t>
            </w:r>
          </w:p>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（2周）</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钳加工技术；车加工技术；铣加工技术</w:t>
            </w:r>
          </w:p>
        </w:tc>
        <w:tc>
          <w:tcPr>
            <w:tcW w:w="3544" w:type="dxa"/>
            <w:vAlign w:val="center"/>
          </w:tcPr>
          <w:p>
            <w:pPr>
              <w:snapToGrid w:val="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掌握钳加工和车加工工种的工艺分析方法和操作规程，具备实现相应技能的基础知识；了解其它常见机加工工种的工艺分析方法，熟悉相应工种的操作要领；熟悉常用设备日常维护和保养的相关知识，能识别并合理分析常用设备的常见故障；知道产品质量的检验、分析、和控制的基本方法，熟悉产品质量检测分析的基础知识；了解安全生产、环境保护、节约资源的有关知识，掌握安全生产基本常识</w:t>
            </w:r>
            <w:r>
              <w:rPr>
                <w:rFonts w:hint="eastAsia" w:asciiTheme="minorEastAsia" w:hAnsiTheme="minorEastAsia" w:eastAsiaTheme="minorEastAsia"/>
                <w:sz w:val="21"/>
                <w:szCs w:val="21"/>
                <w:highlight w:val="none"/>
                <w:lang w:eastAsia="zh-CN"/>
              </w:rPr>
              <w:t>，培养学生安全规范操作的意识和认真细致的工作作风</w:t>
            </w:r>
          </w:p>
        </w:tc>
      </w:tr>
    </w:tbl>
    <w:p>
      <w:pPr>
        <w:pStyle w:val="4"/>
        <w:ind w:left="0" w:leftChars="0" w:firstLine="0" w:firstLineChars="0"/>
        <w:rPr>
          <w:highlight w:val="none"/>
        </w:rPr>
      </w:pPr>
    </w:p>
    <w:p>
      <w:pPr>
        <w:pStyle w:val="4"/>
        <w:ind w:left="0" w:leftChars="0" w:firstLine="0" w:firstLineChars="0"/>
        <w:rPr>
          <w:highlight w:val="none"/>
        </w:rPr>
      </w:pPr>
    </w:p>
    <w:p>
      <w:pPr>
        <w:pStyle w:val="4"/>
        <w:ind w:left="0" w:leftChars="0" w:firstLine="0" w:firstLineChars="0"/>
        <w:rPr>
          <w:highlight w:val="none"/>
        </w:rPr>
      </w:pPr>
    </w:p>
    <w:p>
      <w:pPr>
        <w:pStyle w:val="4"/>
        <w:ind w:left="0" w:leftChars="0" w:firstLine="0" w:firstLineChars="0"/>
        <w:rPr>
          <w:highlight w:val="none"/>
        </w:rPr>
      </w:pPr>
    </w:p>
    <w:p>
      <w:pPr>
        <w:pStyle w:val="4"/>
        <w:ind w:left="0" w:leftChars="0" w:firstLine="0" w:firstLineChars="0"/>
        <w:rPr>
          <w:highlight w:val="none"/>
        </w:rPr>
      </w:pPr>
    </w:p>
    <w:p>
      <w:pPr>
        <w:pStyle w:val="4"/>
        <w:spacing w:line="500" w:lineRule="exact"/>
        <w:ind w:firstLine="560"/>
        <w:rPr>
          <w:rFonts w:ascii="仿宋" w:hAnsi="仿宋" w:eastAsia="仿宋"/>
          <w:kern w:val="2"/>
          <w:sz w:val="28"/>
          <w:szCs w:val="28"/>
          <w:highlight w:val="none"/>
        </w:rPr>
      </w:pPr>
    </w:p>
    <w:tbl>
      <w:tblPr>
        <w:tblStyle w:val="12"/>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843"/>
        <w:gridCol w:w="29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843"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544"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p>
        </w:tc>
        <w:tc>
          <w:tcPr>
            <w:tcW w:w="1843"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公差配合与测量技术</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8学时）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光滑孔、轴的公差与配合设计；机械测量技术基础；几何公差的测量方法；表面粗糙度的测量方法；量具选用及维护的方法</w:t>
            </w:r>
          </w:p>
        </w:tc>
        <w:tc>
          <w:tcPr>
            <w:tcW w:w="3544" w:type="dxa"/>
            <w:vAlign w:val="center"/>
          </w:tcPr>
          <w:p>
            <w:pPr>
              <w:snapToGrid w:val="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掌握互换性概念的基础知识；掌握公差与配合的基本术语，能进行简单光滑孔、轴的公差与配合设计；能熟练使用千分尺、高度尺、塞规、环规等量具测量产品的尺寸公差；掌握几何公差的基本概念，能使用V型快、百分表等量具测量产品的圆度、平行度、同轴度、对称度等几何公差；掌握表面粗糙度概念及评定参数，能熟练使用比较样块、表面粗糙度仪测量产品表面粗糙度；能正确选用与维护常用量具量仪；</w:t>
            </w:r>
            <w:r>
              <w:rPr>
                <w:rFonts w:hint="eastAsia" w:asciiTheme="minorEastAsia" w:hAnsiTheme="minorEastAsia" w:eastAsiaTheme="minorEastAsia"/>
                <w:sz w:val="21"/>
                <w:szCs w:val="21"/>
                <w:highlight w:val="none"/>
                <w:lang w:eastAsia="zh-CN"/>
              </w:rPr>
              <w:t>培养学生具有合作精神和管理协调能力，具有良好的职业道德修养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6</w:t>
            </w:r>
          </w:p>
        </w:tc>
        <w:tc>
          <w:tcPr>
            <w:tcW w:w="1843" w:type="dxa"/>
            <w:vAlign w:val="center"/>
          </w:tcPr>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机械设计基础</w:t>
            </w:r>
          </w:p>
          <w:p>
            <w:pPr>
              <w:snapToGrid w:val="0"/>
              <w:ind w:left="18" w:leftChars="-50" w:right="-160" w:rightChars="-50" w:hanging="178" w:hangingChars="8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械设计基础概论、平面机构的结构分析、平面连杆机构、凸轮机构、间歇运动机构、螺纹联接与螺旋传动、带传动、链传动、齿轮传动、蜗杆传动、齿轮系、轴与轴毂联接、轴承、其他常用零部件、机械的平衡与调速、课程设计</w:t>
            </w:r>
          </w:p>
        </w:tc>
        <w:tc>
          <w:tcPr>
            <w:tcW w:w="3544"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常用机构及通用零、部件的工作原理、类型、特点及应用等基本知识；掌握常用机构的基本理论及设计方法；掌握通用零、部件的失效形式、设计准则及设计方法；具备机械设计实验和设计简单机械及传动装置的基本技能；培养学生的专业思考能力和分析问题、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7</w:t>
            </w:r>
          </w:p>
        </w:tc>
        <w:tc>
          <w:tcPr>
            <w:tcW w:w="1843" w:type="dxa"/>
            <w:vAlign w:val="center"/>
          </w:tcPr>
          <w:p>
            <w:pPr>
              <w:snapToGrid w:val="0"/>
              <w:ind w:left="199" w:hanging="199" w:hangingChars="9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电工技术训练</w:t>
            </w:r>
          </w:p>
          <w:p>
            <w:pPr>
              <w:snapToGrid w:val="0"/>
              <w:ind w:left="199" w:hanging="199" w:hangingChars="9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rPr>
              <w:t>周）</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用电事故应急处理技术；常用电工工具及仪表的使用技术；常用低压电器的选用及其拆装技术；照明电路安装技术</w:t>
            </w:r>
          </w:p>
        </w:tc>
        <w:tc>
          <w:tcPr>
            <w:tcW w:w="3544"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熟悉常用电器元件的名称、规格和使用的基本常识；熟悉电工常用工具、仪表的类型、型号及使用方法；会用测量仪器实施简单的电气测量； 能根据工程实际正确选用和装拆常用电器元件；会安装与维护一般照明电路</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培养学生安全规范操作的意识和认真细致的工作作风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8</w:t>
            </w:r>
          </w:p>
        </w:tc>
        <w:tc>
          <w:tcPr>
            <w:tcW w:w="1843" w:type="dxa"/>
            <w:vAlign w:val="center"/>
          </w:tcPr>
          <w:p>
            <w:pPr>
              <w:snapToGrid w:val="0"/>
              <w:ind w:left="199" w:hanging="199" w:hangingChars="9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电子技术训练</w:t>
            </w:r>
          </w:p>
          <w:p>
            <w:pPr>
              <w:snapToGrid w:val="0"/>
              <w:ind w:left="199" w:hanging="199" w:hangingChars="95"/>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rPr>
              <w:t>周）</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电子测量技术；电子装接技术基础；电子装调技术</w:t>
            </w:r>
          </w:p>
        </w:tc>
        <w:tc>
          <w:tcPr>
            <w:tcW w:w="3544" w:type="dxa"/>
            <w:vAlign w:val="center"/>
          </w:tcPr>
          <w:p>
            <w:pPr>
              <w:snapToGrid w:val="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掌握电子元器件的识别、选用与检测方法；掌握手工焊接的工艺流程和方法，能熟练使用电烙铁进行各类电子元件的焊接；掌握电子元器件的装配技术，能根据图纸装配简单的电子产品</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培养学生安全规范操作的意识和认真细致的工作作风</w:t>
            </w:r>
          </w:p>
        </w:tc>
      </w:tr>
    </w:tbl>
    <w:p>
      <w:pPr>
        <w:overflowPunct w:val="0"/>
        <w:spacing w:line="500" w:lineRule="exact"/>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tbl>
      <w:tblPr>
        <w:tblStyle w:val="12"/>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843"/>
        <w:gridCol w:w="29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843"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544"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w:t>
            </w:r>
          </w:p>
        </w:tc>
        <w:tc>
          <w:tcPr>
            <w:tcW w:w="1843"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电工电子技术</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基础</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88</w:t>
            </w:r>
            <w:r>
              <w:rPr>
                <w:rFonts w:hint="eastAsia" w:asciiTheme="minorEastAsia" w:hAnsiTheme="minorEastAsia" w:eastAsiaTheme="minorEastAsia"/>
                <w:sz w:val="21"/>
                <w:szCs w:val="21"/>
                <w:highlight w:val="none"/>
              </w:rPr>
              <w:t>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安全用电知识：直流电路；</w:t>
            </w:r>
            <w:r>
              <w:rPr>
                <w:rFonts w:asciiTheme="minorEastAsia" w:hAnsiTheme="minorEastAsia" w:eastAsiaTheme="minorEastAsia"/>
                <w:sz w:val="21"/>
                <w:szCs w:val="21"/>
                <w:highlight w:val="none"/>
              </w:rPr>
              <w:t>正弦</w:t>
            </w:r>
            <w:r>
              <w:rPr>
                <w:rFonts w:hint="eastAsia" w:asciiTheme="minorEastAsia" w:hAnsiTheme="minorEastAsia" w:eastAsiaTheme="minorEastAsia"/>
                <w:sz w:val="21"/>
                <w:szCs w:val="21"/>
                <w:highlight w:val="none"/>
              </w:rPr>
              <w:t>交流电路；变压器与电动机；电动机控制电路：常用半导体元器件：放大电路及运算电路；数字电子技术基本知识</w:t>
            </w:r>
          </w:p>
        </w:tc>
        <w:tc>
          <w:tcPr>
            <w:tcW w:w="3544"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熟悉电工电子技术的基本工作内容、职业规范、安全用电常识及电路符号；初步掌握电工电子技术的基础常识，熟悉电路的构成和工作原理及在实际生产中的典型应用；能读懂一般常见的电气控制系统图，初步掌握基本电路的安装连接技术；掌握三相异步电动机基本控制电路的工作原理；掌握常用电路元器件的名称、种类、参数、选用及检测基本常识； 能根据工作需要正确制定电工作业单和简单的施工工艺；掌握常见电气设备故障应急处理技术，能正确及时处理用电事故；具备检测、判断常规电路故障并排除故障的初步能力；培养学生的专业思考能力和分析问题、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w:t>
            </w:r>
          </w:p>
        </w:tc>
        <w:tc>
          <w:tcPr>
            <w:tcW w:w="1843" w:type="dxa"/>
            <w:vAlign w:val="center"/>
          </w:tcPr>
          <w:p>
            <w:pPr>
              <w:snapToGrid w:val="0"/>
              <w:ind w:left="147"/>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数控加工工艺与编程技术基础</w:t>
            </w:r>
          </w:p>
          <w:p>
            <w:pPr>
              <w:snapToGrid w:val="0"/>
              <w:ind w:left="147" w:hanging="147" w:hangingChars="7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（104学时）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数控加工工艺基础；数控加工常用刀具；数控机床夹具基础：数控线切割加工工艺及编程技术；数控车削工艺及编程技术；数控铣削（加工中心）工艺及编程技术</w:t>
            </w:r>
          </w:p>
        </w:tc>
        <w:tc>
          <w:tcPr>
            <w:tcW w:w="3544" w:type="dxa"/>
            <w:vAlign w:val="center"/>
          </w:tcPr>
          <w:p>
            <w:pPr>
              <w:snapToGrid w:val="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熟悉常用数控机床的加工工艺特点，具备编制数控加工工艺的初步能力；掌握常用数控机床的一般操作技能；具备选用刀具、在线测量、选择加工方式的初步能力；具备常用数控机床的维护保养能力；掌握数控编程和仿真软件应用技术，具备手工编制一般加工程序的初步能力；</w:t>
            </w:r>
            <w:r>
              <w:rPr>
                <w:rFonts w:hint="eastAsia" w:asciiTheme="minorEastAsia" w:hAnsiTheme="minorEastAsia" w:eastAsiaTheme="minorEastAsia"/>
                <w:sz w:val="21"/>
                <w:szCs w:val="21"/>
                <w:highlight w:val="none"/>
                <w:lang w:eastAsia="zh-CN"/>
              </w:rPr>
              <w:t>培养学生协作能力和计划组织协调能力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w:t>
            </w:r>
          </w:p>
        </w:tc>
        <w:tc>
          <w:tcPr>
            <w:tcW w:w="1843"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液压与气压传动技术</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学时）</w:t>
            </w:r>
          </w:p>
        </w:tc>
        <w:tc>
          <w:tcPr>
            <w:tcW w:w="2977"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液压与气压传动控制的基础知识；液压与气压控制在数控机床中的应用技术; 典型液压与气压传动回路的组装、调试技术；典型液压与气压传动系统的维护保养及简单的故障诊断与排除</w:t>
            </w:r>
          </w:p>
        </w:tc>
        <w:tc>
          <w:tcPr>
            <w:tcW w:w="3544"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液压与气压传动控制的基础知识；了解液压与气压传动控制在数控机床中的应用技术；能根据给出的系统回路图，准确的选择元件实物，组装、调试简单的气压、液压回路；能对常用元件及系统进行日常维护保养，进行简单的故障诊断与排除；培养学生的职业素质和职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w:t>
            </w:r>
          </w:p>
        </w:tc>
        <w:tc>
          <w:tcPr>
            <w:tcW w:w="1843" w:type="dxa"/>
            <w:vAlign w:val="center"/>
          </w:tcPr>
          <w:p>
            <w:pPr>
              <w:snapToGrid w:val="0"/>
              <w:ind w:left="147" w:hanging="147"/>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质量管理与控制技术基础</w:t>
            </w:r>
          </w:p>
          <w:p>
            <w:pPr>
              <w:snapToGrid w:val="0"/>
              <w:ind w:left="147" w:hanging="147"/>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56</w:t>
            </w:r>
            <w:r>
              <w:rPr>
                <w:rFonts w:hint="eastAsia" w:asciiTheme="minorEastAsia" w:hAnsiTheme="minorEastAsia" w:eastAsiaTheme="minorEastAsia"/>
                <w:sz w:val="21"/>
                <w:szCs w:val="21"/>
                <w:highlight w:val="none"/>
              </w:rPr>
              <w:t>学时</w:t>
            </w:r>
            <w:r>
              <w:rPr>
                <w:rFonts w:asciiTheme="minorEastAsia" w:hAnsiTheme="minorEastAsia" w:eastAsiaTheme="minorEastAsia"/>
                <w:sz w:val="21"/>
                <w:szCs w:val="21"/>
                <w:highlight w:val="none"/>
              </w:rPr>
              <w:t>）</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质量管理概述；质量管理体系与质量认证；现场质量管理技术：质量控制技术基础：工序质量控制技术；质量检验基础：先进质量管理方法介绍</w:t>
            </w:r>
          </w:p>
        </w:tc>
        <w:tc>
          <w:tcPr>
            <w:tcW w:w="3544" w:type="dxa"/>
            <w:vAlign w:val="center"/>
          </w:tcPr>
          <w:p>
            <w:pPr>
              <w:snapToGrid w:val="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融入课程思政，立德树人贯穿课程始终；通过实例，使学生了解质量、质量管理和全面质量管理的基本理论知识，初步具备现代企业生产现场质量管理与质量控制能力；会分析处理一般生产质量事故；了解影响产品质量的主要因素，能对制造类企业生产质量进行有效控制；培养学生具备实施质量管理体系能力</w:t>
            </w:r>
          </w:p>
        </w:tc>
      </w:tr>
    </w:tbl>
    <w:p>
      <w:pPr>
        <w:pStyle w:val="4"/>
        <w:ind w:left="0" w:leftChars="0" w:firstLine="0" w:firstLineChars="0"/>
        <w:rPr>
          <w:rFonts w:ascii="仿宋" w:hAnsi="仿宋" w:eastAsia="仿宋"/>
          <w:sz w:val="28"/>
          <w:szCs w:val="28"/>
          <w:highlight w:val="none"/>
        </w:rPr>
      </w:pPr>
    </w:p>
    <w:p>
      <w:pPr>
        <w:overflowPunct w:val="0"/>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专业核心课程</w:t>
      </w:r>
    </w:p>
    <w:p>
      <w:pPr>
        <w:overflowPunct w:val="0"/>
        <w:spacing w:line="500" w:lineRule="exact"/>
        <w:ind w:firstLine="600"/>
        <w:rPr>
          <w:rFonts w:hint="eastAsia" w:ascii="Times New Roman" w:hAnsi="Times New Roman" w:eastAsia="楷体" w:cs="楷体"/>
          <w:sz w:val="28"/>
          <w:szCs w:val="28"/>
          <w:highlight w:val="none"/>
        </w:rPr>
      </w:pPr>
      <w:r>
        <w:rPr>
          <w:rFonts w:hint="eastAsia" w:ascii="仿宋" w:hAnsi="仿宋" w:eastAsia="仿宋"/>
          <w:sz w:val="28"/>
          <w:szCs w:val="28"/>
          <w:highlight w:val="none"/>
        </w:rPr>
        <w:t>专业核心课程的设置应结合本专业主要岗位群实际需求，注重理论与实践一体化教学，提升学生专业能力，培养学生职业素养。包括钳工工艺与技术训练、机床夹具设计、数控机床操作加工技术训练、现代制造技术与检测、多轴数控加工技术、数控机床控制技术基础、ＣＡＤ／ＣＡＭ软件应用技术、智能制造单元应用技术等必修课程。</w:t>
      </w:r>
    </w:p>
    <w:p>
      <w:pPr>
        <w:overflowPunct w:val="0"/>
        <w:spacing w:line="500" w:lineRule="exact"/>
        <w:jc w:val="center"/>
        <w:rPr>
          <w:rFonts w:ascii="Times New Roman" w:hAnsi="Times New Roman" w:eastAsia="楷体" w:cs="楷体"/>
          <w:sz w:val="28"/>
          <w:szCs w:val="28"/>
          <w:highlight w:val="none"/>
        </w:rPr>
      </w:pPr>
      <w:r>
        <w:rPr>
          <w:rFonts w:hint="eastAsia" w:ascii="Times New Roman" w:hAnsi="Times New Roman" w:eastAsia="楷体" w:cs="楷体"/>
          <w:sz w:val="28"/>
          <w:szCs w:val="28"/>
          <w:highlight w:val="none"/>
        </w:rPr>
        <w:t>表：专业核心课程主要教学内容与要求</w:t>
      </w:r>
    </w:p>
    <w:tbl>
      <w:tblPr>
        <w:tblStyle w:val="12"/>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977"/>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701"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220"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钳工工艺与技术训练</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周）</w:t>
            </w:r>
          </w:p>
        </w:tc>
        <w:tc>
          <w:tcPr>
            <w:tcW w:w="2977"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钳工操作（划线、錾削、锯割、锉削、孔加工、攻套丝、装配）的基本知识和基本技能;  常用钳工工具、量具、设备的使用方法及维护保养；典型零件的加工和装配</w:t>
            </w:r>
          </w:p>
        </w:tc>
        <w:tc>
          <w:tcPr>
            <w:tcW w:w="3220"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掌握常用钳工工具、量具、设备的使用方法；能够对钳工常用设备进行日常维护与保养；能按照零件图样和装配图样的要求完成典型零件的加工和装配；掌握相关的文明生产、节能环保和安全操作规范；培养严谨细致的工作作风和吃苦耐劳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机床夹具设计</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56</w:t>
            </w:r>
            <w:r>
              <w:rPr>
                <w:rFonts w:hint="eastAsia" w:asciiTheme="minorEastAsia" w:hAnsiTheme="minorEastAsia" w:eastAsiaTheme="minorEastAsia"/>
                <w:sz w:val="21"/>
                <w:szCs w:val="21"/>
                <w:highlight w:val="none"/>
              </w:rPr>
              <w:t>学时)</w:t>
            </w:r>
          </w:p>
        </w:tc>
        <w:tc>
          <w:tcPr>
            <w:tcW w:w="2977"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机床夹具概述；工件在夹具中的定位和夹紧；各类机床夹具的结构特点；夹具在机床上的定位、对刀和分度；可调夹具及组合夹具的设计；机床夹具的设计方法和步骤</w:t>
            </w:r>
          </w:p>
          <w:p>
            <w:pPr>
              <w:snapToGrid w:val="0"/>
              <w:ind w:firstLine="420" w:firstLineChars="200"/>
              <w:rPr>
                <w:rFonts w:asciiTheme="minorEastAsia" w:hAnsiTheme="minorEastAsia" w:eastAsiaTheme="minorEastAsia"/>
                <w:sz w:val="21"/>
                <w:szCs w:val="21"/>
                <w:highlight w:val="none"/>
              </w:rPr>
            </w:pPr>
          </w:p>
        </w:tc>
        <w:tc>
          <w:tcPr>
            <w:tcW w:w="3220" w:type="dxa"/>
            <w:vAlign w:val="center"/>
          </w:tcPr>
          <w:p>
            <w:pPr>
              <w:snapToGrid w:val="0"/>
              <w:jc w:val="left"/>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掌握机床夹具的基本理论知识；能对机床夹具进行结构设计和精度分析；会查阅有关夹具设计的标准、手册、图册等技术资料；掌握机床夹具设计的一般方法，具有设计一般复杂程度夹具的基本能力；了解现代夹具设计的一般知识；</w:t>
            </w:r>
            <w:r>
              <w:rPr>
                <w:rFonts w:hint="eastAsia" w:asciiTheme="minorEastAsia" w:hAnsiTheme="minorEastAsia" w:eastAsiaTheme="minorEastAsia"/>
                <w:sz w:val="21"/>
                <w:szCs w:val="21"/>
                <w:highlight w:val="none"/>
                <w:lang w:eastAsia="zh-CN"/>
              </w:rPr>
              <w:t>培养学生具备善于观察、思考、自主学习的能力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数控机床操作加工技术训练</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rPr>
              <w:t>周）</w:t>
            </w:r>
          </w:p>
        </w:tc>
        <w:tc>
          <w:tcPr>
            <w:tcW w:w="2977"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数控机床基础知识；数控机床的维护与保养技术训练；数控车床的编程与加工技术训练；数控铣床的编程与加工技术训练</w:t>
            </w:r>
          </w:p>
          <w:p>
            <w:pPr>
              <w:snapToGrid w:val="0"/>
              <w:ind w:left="185" w:firstLine="420" w:firstLineChars="200"/>
              <w:jc w:val="left"/>
              <w:rPr>
                <w:rFonts w:asciiTheme="minorEastAsia" w:hAnsiTheme="minorEastAsia" w:eastAsiaTheme="minorEastAsia"/>
                <w:sz w:val="21"/>
                <w:szCs w:val="21"/>
                <w:highlight w:val="none"/>
              </w:rPr>
            </w:pPr>
          </w:p>
        </w:tc>
        <w:tc>
          <w:tcPr>
            <w:tcW w:w="3220"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常用数控机床的结构、工作过程、特点、应用场合；掌握常用数控机床的一般操作技能及操作规程；能够根据图纸要求车削/铣削简单的零件；具备常用数控机床的维护保养能力；培养团结合作精神，敢于独立承担任务的责任意识</w:t>
            </w:r>
          </w:p>
        </w:tc>
      </w:tr>
    </w:tbl>
    <w:p>
      <w:pPr>
        <w:spacing w:line="500" w:lineRule="exact"/>
        <w:ind w:firstLine="560" w:firstLineChars="200"/>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p>
      <w:pPr>
        <w:pStyle w:val="4"/>
        <w:rPr>
          <w:rFonts w:ascii="仿宋" w:hAnsi="仿宋" w:eastAsia="仿宋"/>
          <w:sz w:val="28"/>
          <w:szCs w:val="28"/>
          <w:highlight w:val="none"/>
        </w:rPr>
      </w:pPr>
    </w:p>
    <w:tbl>
      <w:tblPr>
        <w:tblStyle w:val="12"/>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977"/>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701"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220"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现代制造技术与检测</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周）</w:t>
            </w:r>
          </w:p>
        </w:tc>
        <w:tc>
          <w:tcPr>
            <w:tcW w:w="2977" w:type="dxa"/>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制造自动化技术概述；机器人控制方法、MEMS应用技术和智能控制技术；先进制造技术领域中企业现代管理方法； </w:t>
            </w:r>
            <w:r>
              <w:rPr>
                <w:rFonts w:asciiTheme="minorEastAsia" w:hAnsiTheme="minorEastAsia" w:eastAsiaTheme="minorEastAsia"/>
                <w:sz w:val="21"/>
                <w:szCs w:val="21"/>
                <w:highlight w:val="none"/>
              </w:rPr>
              <w:t>几何量的精密测量方法；</w:t>
            </w:r>
            <w:r>
              <w:rPr>
                <w:rFonts w:hint="eastAsia" w:asciiTheme="minorEastAsia" w:hAnsiTheme="minorEastAsia" w:eastAsiaTheme="minorEastAsia"/>
                <w:sz w:val="21"/>
                <w:szCs w:val="21"/>
                <w:highlight w:val="none"/>
              </w:rPr>
              <w:t>数控车床</w:t>
            </w:r>
            <w:r>
              <w:rPr>
                <w:rFonts w:asciiTheme="minorEastAsia" w:hAnsiTheme="minorEastAsia" w:eastAsiaTheme="minorEastAsia"/>
                <w:sz w:val="21"/>
                <w:szCs w:val="21"/>
                <w:highlight w:val="none"/>
              </w:rPr>
              <w:t>在线检测系统的使用及编程方法</w:t>
            </w:r>
          </w:p>
        </w:tc>
        <w:tc>
          <w:tcPr>
            <w:tcW w:w="3220" w:type="dxa"/>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了解，尤其是CAD/CAM技术、数控加工技术、CIMS、FMS、AM等技术；了解机器人控制方法、MEMS应用技术和智能控制技术；了解先进制造技术领域中企业现代管理方法，尤其是LP、 MRP、 ERP等管理理念； 熟悉几何尺寸、几何误差、表面粗糙度等几何量的精密测量方法；了解三维测头的应用技术、在线检测技术及其系统，掌握数控车床在线检测系统的使用及编程方法；培养坚持真理、勇于创新、实事求是的科学态度与科学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多轴数控加工技术</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97学时</w:t>
            </w:r>
            <w:r>
              <w:rPr>
                <w:rFonts w:hint="eastAsia" w:asciiTheme="minorEastAsia" w:hAnsiTheme="minorEastAsia" w:eastAsiaTheme="minorEastAsia"/>
                <w:sz w:val="21"/>
                <w:szCs w:val="21"/>
                <w:highlight w:val="none"/>
              </w:rPr>
              <w:t>)</w:t>
            </w:r>
          </w:p>
        </w:tc>
        <w:tc>
          <w:tcPr>
            <w:tcW w:w="2977"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多轴加工机床的特点、结构及工作原理；多轴数控加工工艺及用多轴数控机床加工零件；四轴、五轴数控定向加工程序编制方法</w:t>
            </w:r>
          </w:p>
        </w:tc>
        <w:tc>
          <w:tcPr>
            <w:tcW w:w="3220"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了解多轴加工机床特点、结构、工作原理；了解多轴数控加工工艺；初步具备四轴、五轴数控定向加工程序编制的能力；初步具备操作多轴数控机床加工零件的能力；培养学生的职业素质和职业技能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6</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数控机床控制技术基础</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周）</w:t>
            </w:r>
          </w:p>
        </w:tc>
        <w:tc>
          <w:tcPr>
            <w:tcW w:w="2977" w:type="dxa"/>
            <w:vAlign w:val="center"/>
          </w:tcPr>
          <w:p>
            <w:pPr>
              <w:adjustRightInd w:val="0"/>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机床数控技术概述；数控系统的基础知识及装调技术；电机控制与调速技术基础知识；PLC的基础知识及程序编制；数控机床常用传感与检测元件的种类与一般安装使用方法</w:t>
            </w:r>
          </w:p>
        </w:tc>
        <w:tc>
          <w:tcPr>
            <w:tcW w:w="3220"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机床数控技术的相关知识；能说出常用数控机床的主轴、刀架、进给系统基本结构及其运动控制技术；理解常用数控系统的种类，硬件和软件的结构；认知数控系统的接口技术和信息处理的基本过程；掌握机电设备常用电机的基本控制与调速技术；熟悉PLC的基础知识；具备编制简单PLC控制程序的初步能力；了解数控机床常用传感与检测元件的种类与一般安装使用方法；能正确设置和备份数控系统的常用参数，初步具备数控系统整体装调的能力；培养良好的自学能力和分析解决问题的能力</w:t>
            </w:r>
          </w:p>
        </w:tc>
      </w:tr>
    </w:tbl>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p>
      <w:pPr>
        <w:pStyle w:val="4"/>
        <w:ind w:left="0" w:leftChars="0" w:firstLine="0" w:firstLineChars="0"/>
        <w:rPr>
          <w:rFonts w:ascii="仿宋" w:hAnsi="仿宋" w:eastAsia="仿宋"/>
          <w:sz w:val="28"/>
          <w:szCs w:val="28"/>
          <w:highlight w:val="none"/>
        </w:rPr>
      </w:pPr>
    </w:p>
    <w:tbl>
      <w:tblPr>
        <w:tblStyle w:val="12"/>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977"/>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序号</w:t>
            </w:r>
          </w:p>
        </w:tc>
        <w:tc>
          <w:tcPr>
            <w:tcW w:w="1701"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课程名称（学时）</w:t>
            </w:r>
          </w:p>
        </w:tc>
        <w:tc>
          <w:tcPr>
            <w:tcW w:w="2977"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主要教学内容</w:t>
            </w:r>
          </w:p>
        </w:tc>
        <w:tc>
          <w:tcPr>
            <w:tcW w:w="3220" w:type="dxa"/>
            <w:vAlign w:val="center"/>
          </w:tcPr>
          <w:p>
            <w:pPr>
              <w:pStyle w:val="4"/>
              <w:ind w:firstLine="0" w:firstLineChars="0"/>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7</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ＣＡＤ／ＣＡＭ软件应用技术</w:t>
            </w:r>
          </w:p>
          <w:p>
            <w:pPr>
              <w:snapToGrid w:val="0"/>
              <w:ind w:firstLine="105" w:firstLineChars="5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86</w:t>
            </w:r>
            <w:r>
              <w:rPr>
                <w:rFonts w:hint="eastAsia" w:asciiTheme="minorEastAsia" w:hAnsiTheme="minorEastAsia" w:eastAsiaTheme="minorEastAsia"/>
                <w:sz w:val="21"/>
                <w:szCs w:val="21"/>
                <w:highlight w:val="none"/>
              </w:rPr>
              <w:t>学时)</w:t>
            </w:r>
          </w:p>
        </w:tc>
        <w:tc>
          <w:tcPr>
            <w:tcW w:w="2977"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自动编程软件的演示和介绍；典型零件的实体绘制、工程图绘制、装配图绘制；典型零件的加工；3D打印技术</w:t>
            </w:r>
          </w:p>
        </w:tc>
        <w:tc>
          <w:tcPr>
            <w:tcW w:w="3220" w:type="dxa"/>
            <w:vAlign w:val="center"/>
          </w:tcPr>
          <w:p>
            <w:pPr>
              <w:snapToGrid w:val="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了解目前企业常用CAD/CAM软件的种类和基本特点；熟练掌握一种常用CAD/CAM软件的应用技术；初步掌握复杂零件曲面三维造型技术；具备运用一种CAD/CAM软件实施数控加工的能力；熟悉自动编程软件的一般概念，应用范围和与数控机床的通讯接口技术；</w:t>
            </w:r>
            <w:r>
              <w:rPr>
                <w:rFonts w:hint="eastAsia" w:asciiTheme="minorEastAsia" w:hAnsiTheme="minorEastAsia" w:eastAsiaTheme="minorEastAsia"/>
                <w:sz w:val="21"/>
                <w:szCs w:val="21"/>
                <w:highlight w:val="none"/>
                <w:lang w:eastAsia="zh-CN"/>
              </w:rPr>
              <w:t>培养学生良好的表达能力，良好的工程意识。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overflowPunct w:val="0"/>
              <w:spacing w:line="5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8</w:t>
            </w:r>
          </w:p>
        </w:tc>
        <w:tc>
          <w:tcPr>
            <w:tcW w:w="1701" w:type="dxa"/>
            <w:vAlign w:val="center"/>
          </w:tcPr>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智能制造单元应用技术</w:t>
            </w:r>
          </w:p>
          <w:p>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rPr>
              <w:t>(2周)</w:t>
            </w:r>
          </w:p>
        </w:tc>
        <w:tc>
          <w:tcPr>
            <w:tcW w:w="2977" w:type="dxa"/>
            <w:vAlign w:val="center"/>
          </w:tcPr>
          <w:p>
            <w:pPr>
              <w:snapToGrid w:val="0"/>
              <w:jc w:val="left"/>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切削加工智能制造单元主要硬件和控制系统的安装与调试方法；智能制造系统各基本单元的功能检测方法；零件的数字化设计与编程的方法；智能制造单元设备层基本数据的采集和可视化方法；零件的智能加工和生产管控方法</w:t>
            </w:r>
          </w:p>
        </w:tc>
        <w:tc>
          <w:tcPr>
            <w:tcW w:w="3220" w:type="dxa"/>
            <w:vAlign w:val="center"/>
          </w:tcPr>
          <w:p>
            <w:pPr>
              <w:snapToGrid w:val="0"/>
              <w:jc w:val="left"/>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了解切削加工智能制造单元主要硬件和控制系统的安装与调试方法；了解智能制造系统各基本单元进行功能检测的方法；了解零件的数字化设计与编程的方法；了解智能制造单元设备层基本数据的采集和可视化方法；了解零件的智能加工和生产管控方法；具备总线通信技术和工业网路应用的初步能力；</w:t>
            </w:r>
            <w:r>
              <w:rPr>
                <w:rFonts w:hint="eastAsia" w:asciiTheme="minorEastAsia" w:hAnsiTheme="minorEastAsia" w:eastAsiaTheme="minorEastAsia"/>
                <w:sz w:val="21"/>
                <w:szCs w:val="21"/>
                <w:highlight w:val="none"/>
                <w:lang w:eastAsia="zh-CN"/>
              </w:rPr>
              <w:t>培养学生自我学习的能力和新技术学习能力</w:t>
            </w:r>
          </w:p>
        </w:tc>
      </w:tr>
    </w:tbl>
    <w:p>
      <w:pPr>
        <w:pStyle w:val="4"/>
        <w:ind w:left="0" w:leftChars="0" w:firstLine="0" w:firstLineChars="0"/>
        <w:rPr>
          <w:rFonts w:ascii="仿宋" w:hAnsi="仿宋" w:eastAsia="仿宋"/>
          <w:sz w:val="28"/>
          <w:szCs w:val="28"/>
          <w:highlight w:val="none"/>
        </w:rPr>
      </w:pPr>
    </w:p>
    <w:p>
      <w:pPr>
        <w:numPr>
          <w:ilvl w:val="0"/>
          <w:numId w:val="1"/>
        </w:numPr>
        <w:spacing w:line="500" w:lineRule="exac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专业拓展课程的设置对接智能制造行业前沿，促进学生全面发展，培养学生综合能力。专业拓展课程限选课程限选模块以方向课程来体现，并结合职业类证书考试要求，包括车工（数控车工）和铣工（数控铣工）两个方向，根据实际情况，并结合职业类证书考试要求，选取车工（数控车工）方向课程为专业拓展课程必修课，专业拓展课程必修课包括车工工艺与技术训练、车削技术（数控车工）实</w:t>
      </w:r>
      <w:r>
        <w:rPr>
          <w:rFonts w:hint="eastAsia" w:ascii="仿宋" w:hAnsi="仿宋" w:eastAsia="仿宋" w:cs="Times New Roman"/>
          <w:color w:val="auto"/>
          <w:kern w:val="2"/>
          <w:sz w:val="28"/>
          <w:szCs w:val="28"/>
          <w:highlight w:val="none"/>
          <w:lang w:val="en-US" w:eastAsia="zh-CN" w:bidi="ar-SA"/>
        </w:rPr>
        <w:t>训与考级、数控车铣加工技术训练等。专业拓展任选课体现了本地区和本专业的特色，课程设置在《专业任选课程设置参考表》中体现。</w:t>
      </w:r>
    </w:p>
    <w:p>
      <w:pPr>
        <w:pStyle w:val="4"/>
        <w:rPr>
          <w:rFonts w:hint="eastAsia" w:ascii="仿宋" w:hAnsi="仿宋" w:eastAsia="仿宋" w:cs="Times New Roman"/>
          <w:kern w:val="2"/>
          <w:sz w:val="28"/>
          <w:szCs w:val="28"/>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kern w:val="2"/>
          <w:sz w:val="28"/>
          <w:szCs w:val="28"/>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kern w:val="2"/>
          <w:sz w:val="28"/>
          <w:szCs w:val="28"/>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kern w:val="2"/>
          <w:sz w:val="28"/>
          <w:szCs w:val="28"/>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kern w:val="2"/>
          <w:sz w:val="28"/>
          <w:szCs w:val="28"/>
          <w:highlight w:val="none"/>
          <w:lang w:val="en-US" w:eastAsia="zh-CN" w:bidi="ar-SA"/>
        </w:rPr>
      </w:pPr>
    </w:p>
    <w:p>
      <w:pPr>
        <w:overflowPunct w:val="0"/>
        <w:spacing w:line="500" w:lineRule="exact"/>
        <w:jc w:val="center"/>
        <w:rPr>
          <w:highlight w:val="none"/>
        </w:rPr>
      </w:pPr>
      <w:bookmarkStart w:id="36" w:name="_Toc23383"/>
      <w:r>
        <w:rPr>
          <w:rFonts w:hint="eastAsia" w:ascii="Times New Roman" w:hAnsi="Times New Roman" w:eastAsia="楷体" w:cs="楷体"/>
          <w:sz w:val="28"/>
          <w:szCs w:val="28"/>
          <w:highlight w:val="none"/>
        </w:rPr>
        <w:t>表</w:t>
      </w:r>
      <w:r>
        <w:rPr>
          <w:rFonts w:hint="eastAsia" w:ascii="Times New Roman" w:hAnsi="Times New Roman" w:eastAsia="楷体" w:cs="楷体"/>
          <w:sz w:val="28"/>
          <w:szCs w:val="28"/>
          <w:highlight w:val="none"/>
          <w:lang w:eastAsia="zh-CN"/>
        </w:rPr>
        <w:t>：</w:t>
      </w:r>
      <w:r>
        <w:rPr>
          <w:rFonts w:hint="eastAsia" w:ascii="Times New Roman" w:hAnsi="Times New Roman" w:eastAsia="楷体" w:cs="楷体"/>
          <w:sz w:val="28"/>
          <w:szCs w:val="28"/>
          <w:highlight w:val="none"/>
        </w:rPr>
        <w:t>专业拓展课程（必修课程）主要教学内容与要求</w:t>
      </w:r>
    </w:p>
    <w:p>
      <w:pPr>
        <w:pStyle w:val="4"/>
        <w:ind w:firstLine="400"/>
        <w:rPr>
          <w:highlight w:val="none"/>
        </w:rPr>
      </w:pPr>
    </w:p>
    <w:tbl>
      <w:tblPr>
        <w:tblStyle w:val="12"/>
        <w:tblW w:w="93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973"/>
        <w:gridCol w:w="2977"/>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30" w:type="dxa"/>
            <w:vAlign w:val="center"/>
          </w:tcPr>
          <w:p>
            <w:pPr>
              <w:pStyle w:val="4"/>
              <w:ind w:firstLine="0" w:firstLineChars="0"/>
              <w:jc w:val="center"/>
              <w:rPr>
                <w:rFonts w:cs="仿宋" w:asciiTheme="majorEastAsia" w:hAnsiTheme="majorEastAsia" w:eastAsiaTheme="majorEastAsia"/>
                <w:b/>
                <w:bCs/>
                <w:sz w:val="21"/>
                <w:szCs w:val="21"/>
                <w:highlight w:val="none"/>
              </w:rPr>
            </w:pPr>
            <w:r>
              <w:rPr>
                <w:rFonts w:hint="eastAsia" w:cs="仿宋" w:asciiTheme="majorEastAsia" w:hAnsiTheme="majorEastAsia" w:eastAsiaTheme="majorEastAsia"/>
                <w:b/>
                <w:bCs/>
                <w:sz w:val="21"/>
                <w:szCs w:val="21"/>
                <w:highlight w:val="none"/>
              </w:rPr>
              <w:t>序号</w:t>
            </w:r>
          </w:p>
        </w:tc>
        <w:tc>
          <w:tcPr>
            <w:tcW w:w="1973" w:type="dxa"/>
            <w:vAlign w:val="center"/>
          </w:tcPr>
          <w:p>
            <w:pPr>
              <w:pStyle w:val="4"/>
              <w:ind w:firstLine="0" w:firstLineChars="0"/>
              <w:jc w:val="center"/>
              <w:rPr>
                <w:rFonts w:cs="仿宋" w:asciiTheme="majorEastAsia" w:hAnsiTheme="majorEastAsia" w:eastAsiaTheme="majorEastAsia"/>
                <w:b/>
                <w:bCs/>
                <w:sz w:val="21"/>
                <w:szCs w:val="21"/>
                <w:highlight w:val="none"/>
              </w:rPr>
            </w:pPr>
            <w:r>
              <w:rPr>
                <w:rFonts w:hint="eastAsia" w:cs="仿宋" w:asciiTheme="majorEastAsia" w:hAnsiTheme="majorEastAsia" w:eastAsiaTheme="majorEastAsia"/>
                <w:b/>
                <w:bCs/>
                <w:sz w:val="21"/>
                <w:szCs w:val="21"/>
                <w:highlight w:val="none"/>
              </w:rPr>
              <w:t>课程名称（学时）</w:t>
            </w:r>
          </w:p>
        </w:tc>
        <w:tc>
          <w:tcPr>
            <w:tcW w:w="2977" w:type="dxa"/>
            <w:vAlign w:val="center"/>
          </w:tcPr>
          <w:p>
            <w:pPr>
              <w:pStyle w:val="4"/>
              <w:ind w:firstLine="0" w:firstLineChars="0"/>
              <w:jc w:val="center"/>
              <w:rPr>
                <w:rFonts w:cs="仿宋" w:asciiTheme="majorEastAsia" w:hAnsiTheme="majorEastAsia" w:eastAsiaTheme="majorEastAsia"/>
                <w:b/>
                <w:bCs/>
                <w:sz w:val="21"/>
                <w:szCs w:val="21"/>
                <w:highlight w:val="none"/>
              </w:rPr>
            </w:pPr>
            <w:r>
              <w:rPr>
                <w:rFonts w:hint="eastAsia" w:cs="仿宋" w:asciiTheme="majorEastAsia" w:hAnsiTheme="majorEastAsia" w:eastAsiaTheme="majorEastAsia"/>
                <w:b/>
                <w:bCs/>
                <w:sz w:val="21"/>
                <w:szCs w:val="21"/>
                <w:highlight w:val="none"/>
              </w:rPr>
              <w:t>主要教学内容</w:t>
            </w:r>
          </w:p>
        </w:tc>
        <w:tc>
          <w:tcPr>
            <w:tcW w:w="3541" w:type="dxa"/>
            <w:vAlign w:val="center"/>
          </w:tcPr>
          <w:p>
            <w:pPr>
              <w:pStyle w:val="4"/>
              <w:ind w:firstLine="0" w:firstLineChars="0"/>
              <w:jc w:val="center"/>
              <w:rPr>
                <w:rFonts w:cs="仿宋" w:asciiTheme="majorEastAsia" w:hAnsiTheme="majorEastAsia" w:eastAsiaTheme="majorEastAsia"/>
                <w:b/>
                <w:bCs/>
                <w:sz w:val="21"/>
                <w:szCs w:val="21"/>
                <w:highlight w:val="none"/>
              </w:rPr>
            </w:pPr>
            <w:r>
              <w:rPr>
                <w:rFonts w:hint="eastAsia" w:cs="仿宋" w:asciiTheme="majorEastAsia" w:hAnsiTheme="majorEastAsia" w:eastAsiaTheme="majorEastAsia"/>
                <w:b/>
                <w:bCs/>
                <w:sz w:val="21"/>
                <w:szCs w:val="21"/>
                <w:highlight w:val="none"/>
              </w:rPr>
              <w:t>教学要求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830" w:type="dxa"/>
            <w:vAlign w:val="center"/>
          </w:tcPr>
          <w:p>
            <w:pPr>
              <w:widowControl/>
              <w:adjustRightInd w:val="0"/>
              <w:jc w:val="center"/>
              <w:rPr>
                <w:rFonts w:cs="仿宋" w:asciiTheme="minorEastAsia" w:hAnsiTheme="minorEastAsia" w:eastAsiaTheme="minorEastAsia"/>
                <w:bCs/>
                <w:sz w:val="21"/>
                <w:szCs w:val="21"/>
                <w:highlight w:val="none"/>
              </w:rPr>
            </w:pPr>
            <w:r>
              <w:rPr>
                <w:rFonts w:hint="eastAsia" w:cs="仿宋" w:asciiTheme="minorEastAsia" w:hAnsiTheme="minorEastAsia" w:eastAsiaTheme="minorEastAsia"/>
                <w:bCs/>
                <w:sz w:val="21"/>
                <w:szCs w:val="21"/>
                <w:highlight w:val="none"/>
              </w:rPr>
              <w:t>1</w:t>
            </w:r>
          </w:p>
        </w:tc>
        <w:tc>
          <w:tcPr>
            <w:tcW w:w="1973" w:type="dxa"/>
            <w:shd w:val="clear" w:color="auto" w:fill="auto"/>
            <w:vAlign w:val="center"/>
          </w:tcPr>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车工工艺与技术</w:t>
            </w:r>
          </w:p>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训练</w:t>
            </w:r>
          </w:p>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（2周）</w:t>
            </w:r>
          </w:p>
        </w:tc>
        <w:tc>
          <w:tcPr>
            <w:tcW w:w="2977" w:type="dxa"/>
            <w:shd w:val="clear" w:color="auto" w:fill="auto"/>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车床的安全操作规程；车床的类型与结构；车刀的类型与特点；车刀的刃磨；车削特点及加工范围；车削用量及选择；车床的基本操作；车削外圆；车削槽；车削普通三角螺纹；车床的维护保养</w:t>
            </w:r>
          </w:p>
        </w:tc>
        <w:tc>
          <w:tcPr>
            <w:tcW w:w="3541" w:type="dxa"/>
            <w:shd w:val="clear" w:color="auto" w:fill="auto"/>
            <w:vAlign w:val="center"/>
          </w:tcPr>
          <w:p>
            <w:pP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了解车床的组成；掌握车削实训文明生产应达到的基本要求；了解车刀的类型，掌握车刀的刃磨方法；掌握车削用量的选择方法；掌握车床的基本操作；掌握外圆的车削方法；掌握切槽的方法；掌握车削普通三角螺纹的方法；学会车床的维护与保养</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培养严谨细致的工作作风和吃苦耐劳精神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830" w:type="dxa"/>
            <w:vAlign w:val="center"/>
          </w:tcPr>
          <w:p>
            <w:pPr>
              <w:widowControl/>
              <w:adjustRightInd w:val="0"/>
              <w:jc w:val="center"/>
              <w:rPr>
                <w:rFonts w:cs="仿宋" w:asciiTheme="minorEastAsia" w:hAnsiTheme="minorEastAsia" w:eastAsiaTheme="minorEastAsia"/>
                <w:bCs/>
                <w:sz w:val="21"/>
                <w:szCs w:val="21"/>
                <w:highlight w:val="none"/>
              </w:rPr>
            </w:pPr>
            <w:r>
              <w:rPr>
                <w:rFonts w:hint="eastAsia" w:cs="仿宋" w:asciiTheme="minorEastAsia" w:hAnsiTheme="minorEastAsia" w:eastAsiaTheme="minorEastAsia"/>
                <w:bCs/>
                <w:sz w:val="21"/>
                <w:szCs w:val="21"/>
                <w:highlight w:val="none"/>
              </w:rPr>
              <w:t>2</w:t>
            </w:r>
          </w:p>
        </w:tc>
        <w:tc>
          <w:tcPr>
            <w:tcW w:w="1973" w:type="dxa"/>
            <w:shd w:val="clear" w:color="auto" w:fill="auto"/>
            <w:vAlign w:val="center"/>
          </w:tcPr>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车削技术（数控车工）实训与考级</w:t>
            </w:r>
          </w:p>
          <w:p>
            <w:pPr>
              <w:pStyle w:val="4"/>
              <w:ind w:firstLine="0" w:firstLineChars="0"/>
              <w:jc w:val="center"/>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（中级6周）</w:t>
            </w:r>
          </w:p>
        </w:tc>
        <w:tc>
          <w:tcPr>
            <w:tcW w:w="2977" w:type="dxa"/>
            <w:shd w:val="clear" w:color="auto" w:fill="auto"/>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车床的安全操作规程与方法；数控车削的编程；编写数控加工工艺；外圆的编程与加工；外槽的编程与加工；外普通三角螺纹的编程与加工；孔的编程与加工；综合零件的数控工艺分析与编程加工；数控车床的维护与保养</w:t>
            </w:r>
          </w:p>
        </w:tc>
        <w:tc>
          <w:tcPr>
            <w:tcW w:w="3541" w:type="dxa"/>
            <w:shd w:val="clear" w:color="auto" w:fill="auto"/>
            <w:vAlign w:val="center"/>
          </w:tcPr>
          <w:p>
            <w:pP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知道数控车削实训文明生产应达到的基本要求；掌握数控车削用量的选择方法；掌握数控车床的基本操作；掌握外圆、外槽、外普通三角螺纹、内孔的数控编程与车削方法；掌握综合零件的数控加工工艺分析方法与数控编程加工方法；学会数控车床的维护与保养</w:t>
            </w:r>
            <w:r>
              <w:rPr>
                <w:rFonts w:hint="eastAsia" w:asciiTheme="minorEastAsia" w:hAnsiTheme="minorEastAsia" w:eastAsiaTheme="minorEastAsia"/>
                <w:sz w:val="21"/>
                <w:szCs w:val="21"/>
                <w:highlight w:val="none"/>
                <w:lang w:eastAsia="zh-CN"/>
              </w:rPr>
              <w:t>；培养学生合作和沟通能力，打造工匠精神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8" w:hRule="atLeast"/>
          <w:jc w:val="center"/>
        </w:trPr>
        <w:tc>
          <w:tcPr>
            <w:tcW w:w="830" w:type="dxa"/>
            <w:vAlign w:val="center"/>
          </w:tcPr>
          <w:p>
            <w:pPr>
              <w:widowControl/>
              <w:adjustRightInd w:val="0"/>
              <w:jc w:val="center"/>
              <w:rPr>
                <w:rFonts w:cs="仿宋" w:asciiTheme="minorEastAsia" w:hAnsiTheme="minorEastAsia" w:eastAsiaTheme="minorEastAsia"/>
                <w:bCs/>
                <w:sz w:val="21"/>
                <w:szCs w:val="21"/>
                <w:highlight w:val="none"/>
              </w:rPr>
            </w:pPr>
            <w:r>
              <w:rPr>
                <w:rFonts w:hint="eastAsia" w:cs="仿宋" w:asciiTheme="minorEastAsia" w:hAnsiTheme="minorEastAsia" w:eastAsiaTheme="minorEastAsia"/>
                <w:bCs/>
                <w:sz w:val="21"/>
                <w:szCs w:val="21"/>
                <w:highlight w:val="none"/>
              </w:rPr>
              <w:t>3</w:t>
            </w:r>
          </w:p>
        </w:tc>
        <w:tc>
          <w:tcPr>
            <w:tcW w:w="1973" w:type="dxa"/>
            <w:shd w:val="clear" w:color="auto" w:fill="auto"/>
            <w:vAlign w:val="center"/>
          </w:tcPr>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车削技术（数控车工）实训与考级</w:t>
            </w:r>
          </w:p>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（高级6周）</w:t>
            </w:r>
          </w:p>
        </w:tc>
        <w:tc>
          <w:tcPr>
            <w:tcW w:w="2977" w:type="dxa"/>
            <w:shd w:val="clear" w:color="auto" w:fill="auto"/>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数控车床的安全操作规程与方法；</w:t>
            </w:r>
            <w:r>
              <w:rPr>
                <w:rFonts w:asciiTheme="minorEastAsia" w:hAnsiTheme="minorEastAsia" w:eastAsiaTheme="minorEastAsia"/>
                <w:sz w:val="21"/>
                <w:szCs w:val="21"/>
                <w:highlight w:val="none"/>
              </w:rPr>
              <w:t>数控加工仿真软件应用</w:t>
            </w:r>
            <w:r>
              <w:rPr>
                <w:rFonts w:hint="eastAsia" w:asciiTheme="minorEastAsia" w:hAnsiTheme="minorEastAsia" w:eastAsiaTheme="minorEastAsia"/>
                <w:sz w:val="21"/>
                <w:szCs w:val="21"/>
                <w:highlight w:val="none"/>
              </w:rPr>
              <w:t>；内沟槽的编程与加工；内普通三角螺纹的编程与加工；依据零件图完成数控工艺分析、编程与加工；数控车床的维护与保养</w:t>
            </w:r>
          </w:p>
        </w:tc>
        <w:tc>
          <w:tcPr>
            <w:tcW w:w="3541" w:type="dxa"/>
            <w:shd w:val="clear" w:color="auto" w:fill="auto"/>
            <w:vAlign w:val="center"/>
          </w:tcPr>
          <w:p>
            <w:pP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知道数控车削实训文明生产应达到的基本要求；掌握内沟槽的数控编程与车削方法；掌握内普通三角螺纹的数控编程与车削方法；掌握综合零件的数控加工工艺分析方法与数控编程加工方法；学会</w:t>
            </w:r>
            <w:r>
              <w:rPr>
                <w:rFonts w:asciiTheme="minorEastAsia" w:hAnsiTheme="minorEastAsia" w:eastAsiaTheme="minorEastAsia"/>
                <w:sz w:val="21"/>
                <w:szCs w:val="21"/>
                <w:highlight w:val="none"/>
              </w:rPr>
              <w:t>数控加工仿真软件</w:t>
            </w:r>
            <w:r>
              <w:rPr>
                <w:rFonts w:hint="eastAsia" w:asciiTheme="minorEastAsia" w:hAnsiTheme="minorEastAsia" w:eastAsiaTheme="minorEastAsia"/>
                <w:sz w:val="21"/>
                <w:szCs w:val="21"/>
                <w:highlight w:val="none"/>
              </w:rPr>
              <w:t>；学会数控车床的维护与保养</w:t>
            </w:r>
            <w:r>
              <w:rPr>
                <w:rFonts w:hint="eastAsia" w:asciiTheme="minorEastAsia" w:hAnsiTheme="minorEastAsia" w:eastAsiaTheme="minorEastAsia"/>
                <w:sz w:val="21"/>
                <w:szCs w:val="21"/>
                <w:highlight w:val="none"/>
                <w:lang w:eastAsia="zh-CN"/>
              </w:rPr>
              <w:t>；培养学生合作和沟通能力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830" w:type="dxa"/>
            <w:vAlign w:val="center"/>
          </w:tcPr>
          <w:p>
            <w:pPr>
              <w:widowControl/>
              <w:adjustRightInd w:val="0"/>
              <w:jc w:val="center"/>
              <w:rPr>
                <w:rFonts w:cs="仿宋" w:asciiTheme="minorEastAsia" w:hAnsiTheme="minorEastAsia" w:eastAsiaTheme="minorEastAsia"/>
                <w:bCs/>
                <w:sz w:val="21"/>
                <w:szCs w:val="21"/>
                <w:highlight w:val="none"/>
              </w:rPr>
            </w:pPr>
            <w:r>
              <w:rPr>
                <w:rFonts w:hint="eastAsia" w:cs="仿宋" w:asciiTheme="minorEastAsia" w:hAnsiTheme="minorEastAsia" w:eastAsiaTheme="minorEastAsia"/>
                <w:bCs/>
                <w:sz w:val="21"/>
                <w:szCs w:val="21"/>
                <w:highlight w:val="none"/>
              </w:rPr>
              <w:t>4</w:t>
            </w:r>
          </w:p>
        </w:tc>
        <w:tc>
          <w:tcPr>
            <w:tcW w:w="1973" w:type="dxa"/>
            <w:shd w:val="clear" w:color="auto" w:fill="auto"/>
            <w:vAlign w:val="center"/>
          </w:tcPr>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数控车铣加工技术训练</w:t>
            </w:r>
          </w:p>
          <w:p>
            <w:pPr>
              <w:widowControl/>
              <w:adjustRightIn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（5周）</w:t>
            </w:r>
          </w:p>
        </w:tc>
        <w:tc>
          <w:tcPr>
            <w:tcW w:w="2977" w:type="dxa"/>
            <w:shd w:val="clear" w:color="auto" w:fill="auto"/>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数控铣床的安全操作规程与方法；数控铣削基本操作；数控铣削的编程；编写数控加工工艺；平面铣削的编程与加工；凸台轮廓的编程与加工；键槽的编程与加工；型腔的编程与加工；孔的编程与加工；综合零件的数控工艺分析与编程加工；数控铣床的维护与保养</w:t>
            </w:r>
          </w:p>
        </w:tc>
        <w:tc>
          <w:tcPr>
            <w:tcW w:w="3541" w:type="dxa"/>
            <w:shd w:val="clear" w:color="auto" w:fill="auto"/>
            <w:vAlign w:val="center"/>
          </w:tcPr>
          <w:p>
            <w:pP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知道数控铣削实训文明生产应达到的基本要求；掌握数控铣削用量的选择方法；掌握数控铣床的基本操作；掌握平面铣削、键槽轮廓、型腔轮廓的数控编程与铣削方法；掌握孔的数控编程与铣削方法；掌握综合零件的数控加工工艺分析方法与数控编程加工方法；学会数控铣床的维护与保养</w:t>
            </w:r>
            <w:r>
              <w:rPr>
                <w:rFonts w:hint="eastAsia" w:asciiTheme="minorEastAsia" w:hAnsiTheme="minorEastAsia" w:eastAsiaTheme="minorEastAsia"/>
                <w:sz w:val="21"/>
                <w:szCs w:val="21"/>
                <w:highlight w:val="none"/>
                <w:lang w:eastAsia="zh-CN"/>
              </w:rPr>
              <w:t>；注重学生“工匠精神”的培养，提升学生爱岗敬业的职业素养</w:t>
            </w:r>
          </w:p>
        </w:tc>
      </w:tr>
      <w:bookmarkEnd w:id="36"/>
    </w:tbl>
    <w:p>
      <w:pPr>
        <w:spacing w:line="500" w:lineRule="exact"/>
        <w:jc w:val="center"/>
        <w:rPr>
          <w:rFonts w:hint="eastAsia" w:ascii="仿宋" w:hAnsi="仿宋" w:eastAsia="仿宋"/>
          <w:b/>
          <w:bCs/>
          <w:sz w:val="28"/>
          <w:szCs w:val="28"/>
          <w:highlight w:val="yellow"/>
          <w:lang w:val="en-US" w:eastAsia="zh-CN"/>
        </w:rPr>
      </w:pPr>
      <w:bookmarkStart w:id="37" w:name="_Toc29157"/>
    </w:p>
    <w:p>
      <w:pPr>
        <w:spacing w:line="500" w:lineRule="exact"/>
        <w:jc w:val="center"/>
        <w:rPr>
          <w:rFonts w:hint="eastAsia" w:ascii="仿宋" w:hAnsi="仿宋" w:eastAsia="仿宋"/>
          <w:b/>
          <w:bCs/>
          <w:sz w:val="28"/>
          <w:szCs w:val="28"/>
          <w:highlight w:val="yellow"/>
          <w:lang w:val="en-US" w:eastAsia="zh-CN"/>
        </w:rPr>
      </w:pPr>
    </w:p>
    <w:p>
      <w:pPr>
        <w:overflowPunct w:val="0"/>
        <w:spacing w:line="500" w:lineRule="exact"/>
        <w:jc w:val="center"/>
        <w:rPr>
          <w:rFonts w:hint="eastAsia" w:ascii="Times New Roman" w:hAnsi="Times New Roman" w:eastAsia="楷体" w:cs="楷体"/>
          <w:sz w:val="28"/>
          <w:szCs w:val="28"/>
          <w:highlight w:val="none"/>
          <w:lang w:val="en-US" w:eastAsia="zh-CN"/>
        </w:rPr>
      </w:pPr>
    </w:p>
    <w:p>
      <w:pPr>
        <w:overflowPunct w:val="0"/>
        <w:spacing w:line="500" w:lineRule="exact"/>
        <w:jc w:val="center"/>
        <w:rPr>
          <w:rFonts w:hint="eastAsia" w:ascii="Times New Roman" w:hAnsi="Times New Roman" w:eastAsia="楷体" w:cs="楷体"/>
          <w:sz w:val="28"/>
          <w:szCs w:val="28"/>
          <w:highlight w:val="none"/>
          <w:lang w:val="en-US" w:eastAsia="zh-CN"/>
        </w:rPr>
      </w:pPr>
    </w:p>
    <w:p>
      <w:pPr>
        <w:overflowPunct w:val="0"/>
        <w:spacing w:line="500" w:lineRule="exact"/>
        <w:jc w:val="center"/>
        <w:rPr>
          <w:rFonts w:hint="eastAsia" w:ascii="Times New Roman" w:hAnsi="Times New Roman" w:eastAsia="楷体" w:cs="楷体"/>
          <w:sz w:val="28"/>
          <w:szCs w:val="28"/>
          <w:highlight w:val="none"/>
          <w:lang w:val="en-US" w:eastAsia="zh-CN"/>
        </w:rPr>
      </w:pPr>
    </w:p>
    <w:p>
      <w:pPr>
        <w:overflowPunct w:val="0"/>
        <w:spacing w:line="500" w:lineRule="exact"/>
        <w:jc w:val="center"/>
        <w:rPr>
          <w:rFonts w:hint="eastAsia" w:ascii="Times New Roman" w:hAnsi="Times New Roman" w:eastAsia="楷体" w:cs="楷体"/>
          <w:sz w:val="28"/>
          <w:szCs w:val="28"/>
          <w:highlight w:val="none"/>
          <w:lang w:val="en-US" w:eastAsia="zh-CN"/>
        </w:rPr>
      </w:pPr>
      <w:r>
        <w:rPr>
          <w:rFonts w:hint="eastAsia" w:ascii="Times New Roman" w:hAnsi="Times New Roman" w:eastAsia="楷体" w:cs="楷体"/>
          <w:sz w:val="28"/>
          <w:szCs w:val="28"/>
          <w:highlight w:val="none"/>
          <w:lang w:val="en-US" w:eastAsia="zh-CN"/>
        </w:rPr>
        <w:t>表：专业任选课程设置参考</w:t>
      </w:r>
    </w:p>
    <w:tbl>
      <w:tblPr>
        <w:tblStyle w:val="13"/>
        <w:tblpPr w:leftFromText="180" w:rightFromText="180" w:vertAnchor="text" w:horzAnchor="page" w:tblpX="1786" w:tblpY="157"/>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3075"/>
        <w:gridCol w:w="1395"/>
        <w:gridCol w:w="87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overflowPunct w:val="0"/>
              <w:spacing w:line="500" w:lineRule="exact"/>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开设学期</w:t>
            </w:r>
          </w:p>
        </w:tc>
        <w:tc>
          <w:tcPr>
            <w:tcW w:w="1440" w:type="dxa"/>
            <w:vAlign w:val="top"/>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模块</w:t>
            </w:r>
          </w:p>
        </w:tc>
        <w:tc>
          <w:tcPr>
            <w:tcW w:w="3075" w:type="dxa"/>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课程名称</w:t>
            </w:r>
          </w:p>
        </w:tc>
        <w:tc>
          <w:tcPr>
            <w:tcW w:w="1395" w:type="dxa"/>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要求</w:t>
            </w:r>
          </w:p>
        </w:tc>
        <w:tc>
          <w:tcPr>
            <w:tcW w:w="870" w:type="dxa"/>
            <w:vAlign w:val="top"/>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周学时</w:t>
            </w:r>
          </w:p>
        </w:tc>
        <w:tc>
          <w:tcPr>
            <w:tcW w:w="780" w:type="dxa"/>
            <w:vAlign w:val="top"/>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九</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数控专业英语</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管理心理学</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四</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金属材料与热处理技术</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现代物流技术</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八</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典型数控系统</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工业产品造型设计</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七</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3D打印技术</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模具制造技术</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数控机床拆装技术</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AUTOCAD软件技术</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七</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UG软件应用技术</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Solidworks软件应用技术</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六</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数控线切割加工技术训练</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电化学加工</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九</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机械手及机器人技术</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机电一体化概论</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九</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机械制造成本核算</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物联网技术</w:t>
            </w:r>
          </w:p>
        </w:tc>
        <w:tc>
          <w:tcPr>
            <w:tcW w:w="1395"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五</w:t>
            </w:r>
          </w:p>
        </w:tc>
        <w:tc>
          <w:tcPr>
            <w:tcW w:w="144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技能拓展</w:t>
            </w:r>
          </w:p>
        </w:tc>
        <w:tc>
          <w:tcPr>
            <w:tcW w:w="3075" w:type="dxa"/>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可编程控制器</w:t>
            </w:r>
          </w:p>
        </w:tc>
        <w:tc>
          <w:tcPr>
            <w:tcW w:w="1395"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限选1门</w:t>
            </w:r>
          </w:p>
        </w:tc>
        <w:tc>
          <w:tcPr>
            <w:tcW w:w="87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780" w:type="dxa"/>
            <w:vMerge w:val="restart"/>
            <w:vAlign w:val="center"/>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1440" w:type="dxa"/>
            <w:vMerge w:val="continue"/>
            <w:vAlign w:val="top"/>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3075" w:type="dxa"/>
            <w:vAlign w:val="top"/>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模具概论</w:t>
            </w:r>
          </w:p>
        </w:tc>
        <w:tc>
          <w:tcPr>
            <w:tcW w:w="1395" w:type="dxa"/>
            <w:vMerge w:val="continue"/>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870" w:type="dxa"/>
            <w:vMerge w:val="continue"/>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c>
          <w:tcPr>
            <w:tcW w:w="780" w:type="dxa"/>
            <w:vMerge w:val="continue"/>
          </w:tcPr>
          <w:p>
            <w:pPr>
              <w:overflowPunct w:val="0"/>
              <w:spacing w:line="500" w:lineRule="exact"/>
              <w:jc w:val="center"/>
              <w:rPr>
                <w:rFonts w:hint="eastAsia" w:asciiTheme="minorEastAsia" w:hAnsiTheme="minorEastAsia" w:eastAsiaTheme="minorEastAsia" w:cstheme="minorEastAsia"/>
                <w:sz w:val="21"/>
                <w:szCs w:val="21"/>
                <w:highlight w:val="none"/>
                <w:lang w:val="en-US" w:eastAsia="zh-CN"/>
              </w:rPr>
            </w:pPr>
          </w:p>
        </w:tc>
      </w:tr>
    </w:tbl>
    <w:p>
      <w:pPr>
        <w:pStyle w:val="4"/>
        <w:rPr>
          <w:rFonts w:hint="eastAsia"/>
          <w:lang w:val="en-US" w:eastAsia="zh-CN"/>
        </w:rPr>
      </w:pPr>
    </w:p>
    <w:p>
      <w:pPr>
        <w:pStyle w:val="2"/>
        <w:spacing w:before="120" w:after="120" w:line="500" w:lineRule="exact"/>
        <w:ind w:firstLine="0" w:firstLineChars="0"/>
        <w:jc w:val="both"/>
        <w:rPr>
          <w:b w:val="0"/>
          <w:bCs w:val="0"/>
          <w:sz w:val="28"/>
          <w:szCs w:val="28"/>
          <w:highlight w:val="none"/>
        </w:rPr>
      </w:pPr>
      <w:bookmarkStart w:id="38" w:name="_Toc5854"/>
      <w:r>
        <w:rPr>
          <w:rFonts w:hint="eastAsia"/>
          <w:b w:val="0"/>
          <w:bCs w:val="0"/>
          <w:sz w:val="28"/>
          <w:szCs w:val="28"/>
          <w:highlight w:val="none"/>
        </w:rPr>
        <w:t>八、教学进程及学时安排</w:t>
      </w:r>
      <w:bookmarkEnd w:id="38"/>
    </w:p>
    <w:p>
      <w:pPr>
        <w:pStyle w:val="3"/>
        <w:spacing w:line="500" w:lineRule="exact"/>
        <w:ind w:firstLine="562"/>
        <w:rPr>
          <w:rFonts w:ascii="仿宋" w:hAnsi="仿宋" w:eastAsia="仿宋"/>
          <w:bCs/>
          <w:szCs w:val="28"/>
          <w:highlight w:val="none"/>
        </w:rPr>
      </w:pPr>
      <w:bookmarkStart w:id="39" w:name="_Toc1210"/>
      <w:r>
        <w:rPr>
          <w:rFonts w:hint="eastAsia" w:ascii="仿宋" w:hAnsi="仿宋" w:eastAsia="仿宋"/>
          <w:bCs/>
          <w:szCs w:val="28"/>
          <w:highlight w:val="none"/>
        </w:rPr>
        <w:t>（一）教学时间表</w:t>
      </w:r>
      <w:bookmarkEnd w:id="39"/>
    </w:p>
    <w:p>
      <w:pPr>
        <w:spacing w:line="500" w:lineRule="exact"/>
        <w:jc w:val="center"/>
        <w:rPr>
          <w:rFonts w:hint="eastAsia" w:ascii="仿宋" w:hAnsi="仿宋" w:eastAsia="仿宋"/>
          <w:b/>
          <w:bCs/>
          <w:sz w:val="28"/>
          <w:szCs w:val="28"/>
          <w:highlight w:val="yellow"/>
          <w:lang w:val="en-US" w:eastAsia="zh-CN"/>
        </w:rPr>
      </w:pPr>
    </w:p>
    <w:p>
      <w:pPr>
        <w:pStyle w:val="4"/>
        <w:rPr>
          <w:rFonts w:hint="eastAsia"/>
          <w:lang w:val="en-US" w:eastAsia="zh-CN"/>
        </w:rPr>
      </w:pPr>
    </w:p>
    <w:bookmarkEnd w:id="37"/>
    <w:p>
      <w:pPr>
        <w:overflowPunct w:val="0"/>
        <w:spacing w:line="500" w:lineRule="exact"/>
        <w:jc w:val="center"/>
        <w:rPr>
          <w:rFonts w:ascii="Times New Roman" w:hAnsi="Times New Roman" w:eastAsia="楷体" w:cs="楷体"/>
          <w:sz w:val="28"/>
          <w:szCs w:val="28"/>
          <w:highlight w:val="none"/>
        </w:rPr>
      </w:pPr>
      <w:bookmarkStart w:id="40" w:name="_Toc26014"/>
      <w:r>
        <w:rPr>
          <w:rFonts w:hint="eastAsia" w:ascii="Times New Roman" w:hAnsi="Times New Roman" w:eastAsia="楷体" w:cs="楷体"/>
          <w:sz w:val="28"/>
          <w:szCs w:val="28"/>
          <w:highlight w:val="none"/>
        </w:rPr>
        <w:t>表：教学时间表（按周分配）</w:t>
      </w:r>
    </w:p>
    <w:tbl>
      <w:tblPr>
        <w:tblStyle w:val="12"/>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05"/>
        <w:gridCol w:w="870"/>
        <w:gridCol w:w="885"/>
        <w:gridCol w:w="4023"/>
        <w:gridCol w:w="62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jc w:val="center"/>
        </w:trPr>
        <w:tc>
          <w:tcPr>
            <w:tcW w:w="660" w:type="dxa"/>
            <w:vMerge w:val="restart"/>
            <w:vAlign w:val="center"/>
          </w:tcPr>
          <w:p>
            <w:pPr>
              <w:pStyle w:val="19"/>
              <w:spacing w:line="320" w:lineRule="exact"/>
              <w:rPr>
                <w:rFonts w:cs="仿宋" w:asciiTheme="majorEastAsia" w:hAnsiTheme="majorEastAsia" w:eastAsiaTheme="majorEastAsia"/>
                <w:b/>
                <w:bCs/>
                <w:color w:val="auto"/>
                <w:sz w:val="21"/>
                <w:szCs w:val="21"/>
                <w:highlight w:val="none"/>
              </w:rPr>
            </w:pPr>
            <w:r>
              <w:rPr>
                <w:rFonts w:hint="eastAsia" w:cs="仿宋" w:asciiTheme="majorEastAsia" w:hAnsiTheme="majorEastAsia" w:eastAsiaTheme="majorEastAsia"/>
                <w:b/>
                <w:bCs/>
                <w:color w:val="auto"/>
                <w:sz w:val="21"/>
                <w:szCs w:val="21"/>
                <w:highlight w:val="none"/>
              </w:rPr>
              <w:t>学期</w:t>
            </w:r>
          </w:p>
        </w:tc>
        <w:tc>
          <w:tcPr>
            <w:tcW w:w="705" w:type="dxa"/>
            <w:vMerge w:val="restart"/>
            <w:vAlign w:val="center"/>
          </w:tcPr>
          <w:p>
            <w:pPr>
              <w:pStyle w:val="19"/>
              <w:spacing w:line="320" w:lineRule="exact"/>
              <w:rPr>
                <w:rFonts w:cs="仿宋" w:asciiTheme="majorEastAsia" w:hAnsiTheme="majorEastAsia" w:eastAsiaTheme="majorEastAsia"/>
                <w:b/>
                <w:bCs/>
                <w:color w:val="auto"/>
                <w:sz w:val="21"/>
                <w:szCs w:val="21"/>
                <w:highlight w:val="none"/>
              </w:rPr>
            </w:pPr>
            <w:r>
              <w:rPr>
                <w:rFonts w:hint="eastAsia" w:cs="仿宋" w:asciiTheme="majorEastAsia" w:hAnsiTheme="majorEastAsia" w:eastAsiaTheme="majorEastAsia"/>
                <w:b/>
                <w:bCs/>
                <w:color w:val="auto"/>
                <w:sz w:val="21"/>
                <w:szCs w:val="21"/>
                <w:highlight w:val="none"/>
              </w:rPr>
              <w:t>学期</w:t>
            </w:r>
          </w:p>
          <w:p>
            <w:pPr>
              <w:pStyle w:val="19"/>
              <w:spacing w:line="320" w:lineRule="exact"/>
              <w:rPr>
                <w:rFonts w:cs="仿宋" w:asciiTheme="majorEastAsia" w:hAnsiTheme="majorEastAsia" w:eastAsiaTheme="majorEastAsia"/>
                <w:b/>
                <w:bCs/>
                <w:color w:val="auto"/>
                <w:sz w:val="21"/>
                <w:szCs w:val="21"/>
                <w:highlight w:val="none"/>
              </w:rPr>
            </w:pPr>
            <w:r>
              <w:rPr>
                <w:rFonts w:hint="eastAsia" w:cs="仿宋" w:asciiTheme="majorEastAsia" w:hAnsiTheme="majorEastAsia" w:eastAsiaTheme="majorEastAsia"/>
                <w:b/>
                <w:bCs/>
                <w:color w:val="auto"/>
                <w:sz w:val="21"/>
                <w:szCs w:val="21"/>
                <w:highlight w:val="none"/>
              </w:rPr>
              <w:t>周数</w:t>
            </w:r>
          </w:p>
        </w:tc>
        <w:tc>
          <w:tcPr>
            <w:tcW w:w="1755" w:type="dxa"/>
            <w:gridSpan w:val="2"/>
            <w:vAlign w:val="center"/>
          </w:tcPr>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理论与实践教学</w:t>
            </w:r>
          </w:p>
        </w:tc>
        <w:tc>
          <w:tcPr>
            <w:tcW w:w="4650" w:type="dxa"/>
            <w:gridSpan w:val="2"/>
            <w:vAlign w:val="center"/>
          </w:tcPr>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集中实践教学课程和环节</w:t>
            </w:r>
          </w:p>
        </w:tc>
        <w:tc>
          <w:tcPr>
            <w:tcW w:w="930" w:type="dxa"/>
            <w:vMerge w:val="restart"/>
            <w:vAlign w:val="center"/>
          </w:tcPr>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机动周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jc w:val="center"/>
        </w:trPr>
        <w:tc>
          <w:tcPr>
            <w:tcW w:w="660" w:type="dxa"/>
            <w:vMerge w:val="continue"/>
            <w:vAlign w:val="center"/>
          </w:tcPr>
          <w:p>
            <w:pPr>
              <w:pStyle w:val="19"/>
              <w:spacing w:line="320" w:lineRule="exact"/>
              <w:ind w:firstLine="422" w:firstLineChars="200"/>
              <w:rPr>
                <w:rFonts w:ascii="仿宋" w:hAnsi="仿宋" w:eastAsia="仿宋" w:cs="仿宋"/>
                <w:b/>
                <w:bCs/>
                <w:color w:val="auto"/>
                <w:sz w:val="21"/>
                <w:szCs w:val="21"/>
                <w:highlight w:val="none"/>
              </w:rPr>
            </w:pPr>
          </w:p>
        </w:tc>
        <w:tc>
          <w:tcPr>
            <w:tcW w:w="705" w:type="dxa"/>
            <w:vMerge w:val="continue"/>
            <w:vAlign w:val="center"/>
          </w:tcPr>
          <w:p>
            <w:pPr>
              <w:pStyle w:val="19"/>
              <w:spacing w:line="320" w:lineRule="exact"/>
              <w:ind w:firstLine="422" w:firstLineChars="200"/>
              <w:rPr>
                <w:rFonts w:ascii="仿宋" w:hAnsi="仿宋" w:eastAsia="仿宋" w:cs="仿宋"/>
                <w:b/>
                <w:bCs/>
                <w:color w:val="auto"/>
                <w:sz w:val="21"/>
                <w:szCs w:val="21"/>
                <w:highlight w:val="none"/>
              </w:rPr>
            </w:pPr>
          </w:p>
        </w:tc>
        <w:tc>
          <w:tcPr>
            <w:tcW w:w="870" w:type="dxa"/>
            <w:vAlign w:val="center"/>
          </w:tcPr>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授课</w:t>
            </w:r>
          </w:p>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周数</w:t>
            </w:r>
          </w:p>
        </w:tc>
        <w:tc>
          <w:tcPr>
            <w:tcW w:w="885" w:type="dxa"/>
            <w:vAlign w:val="center"/>
          </w:tcPr>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考试</w:t>
            </w:r>
          </w:p>
          <w:p>
            <w:pPr>
              <w:pStyle w:val="19"/>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周数</w:t>
            </w:r>
          </w:p>
        </w:tc>
        <w:tc>
          <w:tcPr>
            <w:tcW w:w="4023" w:type="dxa"/>
            <w:vAlign w:val="center"/>
          </w:tcPr>
          <w:p>
            <w:pPr>
              <w:pStyle w:val="19"/>
              <w:widowControl/>
              <w:spacing w:line="320" w:lineRule="exact"/>
              <w:rPr>
                <w:rFonts w:cs="仿宋" w:asciiTheme="minorEastAsia" w:hAnsiTheme="minorEastAsia" w:eastAsiaTheme="minorEastAsia"/>
                <w:b/>
                <w:bCs/>
                <w:color w:val="auto"/>
                <w:sz w:val="21"/>
                <w:szCs w:val="21"/>
                <w:highlight w:val="none"/>
              </w:rPr>
            </w:pPr>
            <w:r>
              <w:rPr>
                <w:rFonts w:cs="仿宋" w:asciiTheme="minorEastAsia" w:hAnsiTheme="minorEastAsia" w:eastAsiaTheme="minorEastAsia"/>
                <w:b/>
                <w:bCs/>
                <w:color w:val="auto"/>
                <w:sz w:val="21"/>
                <w:szCs w:val="21"/>
                <w:highlight w:val="none"/>
              </w:rPr>
              <w:t>实训、实习、毕业设计</w:t>
            </w:r>
            <w:r>
              <w:rPr>
                <w:rFonts w:hint="eastAsia" w:cs="仿宋" w:asciiTheme="minorEastAsia" w:hAnsiTheme="minorEastAsia" w:eastAsiaTheme="minorEastAsia"/>
                <w:b/>
                <w:bCs/>
                <w:color w:val="auto"/>
                <w:sz w:val="21"/>
                <w:szCs w:val="21"/>
                <w:highlight w:val="none"/>
              </w:rPr>
              <w:t>（论文）</w:t>
            </w:r>
            <w:r>
              <w:rPr>
                <w:rFonts w:cs="仿宋" w:asciiTheme="minorEastAsia" w:hAnsiTheme="minorEastAsia" w:eastAsiaTheme="minorEastAsia"/>
                <w:b/>
                <w:bCs/>
                <w:color w:val="auto"/>
                <w:sz w:val="21"/>
                <w:szCs w:val="21"/>
                <w:highlight w:val="none"/>
              </w:rPr>
              <w:t>、社会实践</w:t>
            </w:r>
            <w:r>
              <w:rPr>
                <w:rFonts w:hint="eastAsia" w:cs="仿宋" w:asciiTheme="minorEastAsia" w:hAnsiTheme="minorEastAsia" w:eastAsiaTheme="minorEastAsia"/>
                <w:b/>
                <w:bCs/>
                <w:color w:val="auto"/>
                <w:sz w:val="21"/>
                <w:szCs w:val="21"/>
                <w:highlight w:val="none"/>
              </w:rPr>
              <w:t>、入学教育、军训等</w:t>
            </w:r>
          </w:p>
        </w:tc>
        <w:tc>
          <w:tcPr>
            <w:tcW w:w="627" w:type="dxa"/>
            <w:vAlign w:val="center"/>
          </w:tcPr>
          <w:p>
            <w:pPr>
              <w:pStyle w:val="19"/>
              <w:widowControl/>
              <w:spacing w:line="320" w:lineRule="exact"/>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周数</w:t>
            </w:r>
          </w:p>
        </w:tc>
        <w:tc>
          <w:tcPr>
            <w:tcW w:w="930" w:type="dxa"/>
            <w:vMerge w:val="continue"/>
            <w:vAlign w:val="center"/>
          </w:tcPr>
          <w:p>
            <w:pPr>
              <w:pStyle w:val="19"/>
              <w:spacing w:line="320" w:lineRule="exact"/>
              <w:ind w:firstLine="422" w:firstLineChars="200"/>
              <w:rPr>
                <w:rFonts w:cs="仿宋" w:asciiTheme="minorEastAsia" w:hAnsiTheme="minorEastAsia" w:eastAsiaTheme="minorEastAsia"/>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bookmarkStart w:id="41" w:name="OLE_LINK1" w:colFirst="5" w:colLast="6"/>
            <w:r>
              <w:rPr>
                <w:rFonts w:hint="eastAsia" w:asciiTheme="minorEastAsia" w:hAnsiTheme="minorEastAsia" w:eastAsiaTheme="minorEastAsia"/>
                <w:color w:val="auto"/>
                <w:sz w:val="21"/>
                <w:szCs w:val="21"/>
                <w:highlight w:val="none"/>
              </w:rPr>
              <w:t>一</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15</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机械加工技术训练</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930" w:type="dxa"/>
            <w:vMerge w:val="restart"/>
            <w:vAlign w:val="center"/>
          </w:tcPr>
          <w:p>
            <w:pPr>
              <w:pStyle w:val="19"/>
              <w:spacing w:line="32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rPr>
                <w:color w:val="auto"/>
                <w:highlight w:val="none"/>
              </w:rPr>
            </w:pPr>
          </w:p>
        </w:tc>
        <w:tc>
          <w:tcPr>
            <w:tcW w:w="705" w:type="dxa"/>
            <w:vMerge w:val="continue"/>
            <w:vAlign w:val="center"/>
          </w:tcPr>
          <w:p>
            <w:pPr>
              <w:pStyle w:val="19"/>
              <w:spacing w:line="320" w:lineRule="exact"/>
              <w:jc w:val="center"/>
              <w:rPr>
                <w:color w:val="auto"/>
                <w:highlight w:val="none"/>
              </w:rPr>
            </w:pPr>
          </w:p>
        </w:tc>
        <w:tc>
          <w:tcPr>
            <w:tcW w:w="870" w:type="dxa"/>
            <w:vMerge w:val="continue"/>
            <w:vAlign w:val="center"/>
          </w:tcPr>
          <w:p>
            <w:pPr>
              <w:pStyle w:val="19"/>
              <w:spacing w:line="320" w:lineRule="exact"/>
              <w:jc w:val="center"/>
              <w:rPr>
                <w:color w:val="auto"/>
                <w:highlight w:val="none"/>
              </w:rPr>
            </w:pPr>
          </w:p>
        </w:tc>
        <w:tc>
          <w:tcPr>
            <w:tcW w:w="885" w:type="dxa"/>
            <w:vMerge w:val="continue"/>
            <w:vAlign w:val="center"/>
          </w:tcPr>
          <w:p>
            <w:pPr>
              <w:pStyle w:val="19"/>
              <w:spacing w:line="320" w:lineRule="exact"/>
              <w:jc w:val="center"/>
              <w:rPr>
                <w:color w:val="auto"/>
                <w:highlight w:val="none"/>
              </w:rPr>
            </w:pP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军事理论与训练</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930" w:type="dxa"/>
            <w:vMerge w:val="continue"/>
            <w:vAlign w:val="center"/>
          </w:tcPr>
          <w:p>
            <w:pPr>
              <w:pStyle w:val="19"/>
              <w:spacing w:line="320" w:lineRule="exact"/>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pPr>
          </w:p>
        </w:tc>
        <w:tc>
          <w:tcPr>
            <w:tcW w:w="705" w:type="dxa"/>
            <w:vMerge w:val="continue"/>
            <w:vAlign w:val="center"/>
          </w:tcPr>
          <w:p>
            <w:pPr>
              <w:pStyle w:val="19"/>
              <w:spacing w:line="320" w:lineRule="exact"/>
            </w:pPr>
          </w:p>
        </w:tc>
        <w:tc>
          <w:tcPr>
            <w:tcW w:w="870" w:type="dxa"/>
            <w:vMerge w:val="continue"/>
            <w:vAlign w:val="center"/>
          </w:tcPr>
          <w:p>
            <w:pPr>
              <w:pStyle w:val="19"/>
              <w:spacing w:line="320" w:lineRule="exact"/>
            </w:pPr>
          </w:p>
        </w:tc>
        <w:tc>
          <w:tcPr>
            <w:tcW w:w="885" w:type="dxa"/>
            <w:vMerge w:val="continue"/>
            <w:vAlign w:val="center"/>
          </w:tcPr>
          <w:p>
            <w:pPr>
              <w:pStyle w:val="19"/>
              <w:spacing w:line="320" w:lineRule="exact"/>
            </w:pPr>
          </w:p>
        </w:tc>
        <w:tc>
          <w:tcPr>
            <w:tcW w:w="4023" w:type="dxa"/>
            <w:vAlign w:val="center"/>
          </w:tcPr>
          <w:p>
            <w:pPr>
              <w:pStyle w:val="19"/>
              <w:spacing w:line="320" w:lineRule="exact"/>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专业认识与入学教育</w:t>
            </w:r>
          </w:p>
        </w:tc>
        <w:tc>
          <w:tcPr>
            <w:tcW w:w="627" w:type="dxa"/>
            <w:vAlign w:val="center"/>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w:t>
            </w:r>
          </w:p>
        </w:tc>
        <w:tc>
          <w:tcPr>
            <w:tcW w:w="930" w:type="dxa"/>
            <w:vMerge w:val="continue"/>
            <w:vAlign w:val="center"/>
          </w:tcPr>
          <w:p>
            <w:pPr>
              <w:pStyle w:val="19"/>
              <w:spacing w:line="320" w:lineRule="exact"/>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二</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rPr>
              <w:t>5</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机械加工技术训练</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93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60" w:type="dxa"/>
            <w:vMerge w:val="continue"/>
            <w:vAlign w:val="center"/>
          </w:tcPr>
          <w:p>
            <w:pPr>
              <w:pStyle w:val="19"/>
              <w:spacing w:line="320" w:lineRule="exact"/>
              <w:rPr>
                <w:color w:val="auto"/>
                <w:highlight w:val="none"/>
              </w:rPr>
            </w:pPr>
          </w:p>
        </w:tc>
        <w:tc>
          <w:tcPr>
            <w:tcW w:w="705" w:type="dxa"/>
            <w:vMerge w:val="continue"/>
            <w:vAlign w:val="center"/>
          </w:tcPr>
          <w:p>
            <w:pPr>
              <w:pStyle w:val="19"/>
              <w:spacing w:line="320" w:lineRule="exact"/>
              <w:jc w:val="center"/>
              <w:rPr>
                <w:color w:val="auto"/>
                <w:highlight w:val="none"/>
              </w:rPr>
            </w:pPr>
          </w:p>
        </w:tc>
        <w:tc>
          <w:tcPr>
            <w:tcW w:w="870" w:type="dxa"/>
            <w:vMerge w:val="continue"/>
            <w:vAlign w:val="center"/>
          </w:tcPr>
          <w:p>
            <w:pPr>
              <w:pStyle w:val="19"/>
              <w:spacing w:line="320" w:lineRule="exact"/>
              <w:jc w:val="center"/>
              <w:rPr>
                <w:color w:val="auto"/>
                <w:highlight w:val="none"/>
              </w:rPr>
            </w:pPr>
          </w:p>
        </w:tc>
        <w:tc>
          <w:tcPr>
            <w:tcW w:w="885" w:type="dxa"/>
            <w:vMerge w:val="continue"/>
            <w:vAlign w:val="center"/>
          </w:tcPr>
          <w:p>
            <w:pPr>
              <w:pStyle w:val="19"/>
              <w:spacing w:line="320" w:lineRule="exact"/>
              <w:jc w:val="center"/>
              <w:rPr>
                <w:color w:val="auto"/>
                <w:highlight w:val="none"/>
              </w:rPr>
            </w:pP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钳工工艺与技术训练</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930" w:type="dxa"/>
            <w:vMerge w:val="continue"/>
            <w:vAlign w:val="center"/>
          </w:tcPr>
          <w:p>
            <w:pPr>
              <w:pStyle w:val="19"/>
              <w:spacing w:line="320" w:lineRule="exact"/>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三</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lang w:val="en-US" w:eastAsia="zh-CN"/>
              </w:rPr>
              <w:t>5</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机械测绘与CAD技术训练</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93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pPr>
          </w:p>
        </w:tc>
        <w:tc>
          <w:tcPr>
            <w:tcW w:w="705" w:type="dxa"/>
            <w:vMerge w:val="continue"/>
            <w:vAlign w:val="center"/>
          </w:tcPr>
          <w:p>
            <w:pPr>
              <w:pStyle w:val="19"/>
              <w:spacing w:line="320" w:lineRule="exact"/>
            </w:pPr>
          </w:p>
        </w:tc>
        <w:tc>
          <w:tcPr>
            <w:tcW w:w="870" w:type="dxa"/>
            <w:vMerge w:val="continue"/>
            <w:vAlign w:val="center"/>
          </w:tcPr>
          <w:p>
            <w:pPr>
              <w:pStyle w:val="19"/>
              <w:spacing w:line="320" w:lineRule="exact"/>
            </w:pPr>
          </w:p>
        </w:tc>
        <w:tc>
          <w:tcPr>
            <w:tcW w:w="885" w:type="dxa"/>
            <w:vMerge w:val="continue"/>
            <w:vAlign w:val="center"/>
          </w:tcPr>
          <w:p>
            <w:pPr>
              <w:pStyle w:val="19"/>
              <w:spacing w:line="320" w:lineRule="exact"/>
            </w:pPr>
          </w:p>
        </w:tc>
        <w:tc>
          <w:tcPr>
            <w:tcW w:w="4023" w:type="dxa"/>
            <w:vAlign w:val="center"/>
          </w:tcPr>
          <w:p>
            <w:pPr>
              <w:pStyle w:val="19"/>
              <w:spacing w:line="320" w:lineRule="exact"/>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公差配合与测量技术</w:t>
            </w:r>
          </w:p>
        </w:tc>
        <w:tc>
          <w:tcPr>
            <w:tcW w:w="627" w:type="dxa"/>
            <w:vAlign w:val="center"/>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w:t>
            </w:r>
          </w:p>
        </w:tc>
        <w:tc>
          <w:tcPr>
            <w:tcW w:w="930" w:type="dxa"/>
            <w:vMerge w:val="continue"/>
            <w:vAlign w:val="center"/>
          </w:tcPr>
          <w:p>
            <w:pPr>
              <w:pStyle w:val="19"/>
              <w:spacing w:line="320" w:lineRule="exact"/>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pPr>
          </w:p>
        </w:tc>
        <w:tc>
          <w:tcPr>
            <w:tcW w:w="705" w:type="dxa"/>
            <w:vMerge w:val="continue"/>
            <w:vAlign w:val="center"/>
          </w:tcPr>
          <w:p>
            <w:pPr>
              <w:pStyle w:val="19"/>
              <w:spacing w:line="320" w:lineRule="exact"/>
            </w:pPr>
          </w:p>
        </w:tc>
        <w:tc>
          <w:tcPr>
            <w:tcW w:w="870" w:type="dxa"/>
            <w:vMerge w:val="continue"/>
            <w:vAlign w:val="center"/>
          </w:tcPr>
          <w:p>
            <w:pPr>
              <w:pStyle w:val="19"/>
              <w:spacing w:line="320" w:lineRule="exact"/>
            </w:pPr>
          </w:p>
        </w:tc>
        <w:tc>
          <w:tcPr>
            <w:tcW w:w="885" w:type="dxa"/>
            <w:vMerge w:val="continue"/>
            <w:vAlign w:val="center"/>
          </w:tcPr>
          <w:p>
            <w:pPr>
              <w:pStyle w:val="19"/>
              <w:spacing w:line="320" w:lineRule="exact"/>
            </w:pPr>
          </w:p>
        </w:tc>
        <w:tc>
          <w:tcPr>
            <w:tcW w:w="4023" w:type="dxa"/>
            <w:vAlign w:val="center"/>
          </w:tcPr>
          <w:p>
            <w:pPr>
              <w:pStyle w:val="19"/>
              <w:spacing w:line="320" w:lineRule="exact"/>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电工技术训练</w:t>
            </w:r>
          </w:p>
        </w:tc>
        <w:tc>
          <w:tcPr>
            <w:tcW w:w="627" w:type="dxa"/>
            <w:vAlign w:val="center"/>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w:t>
            </w:r>
          </w:p>
        </w:tc>
        <w:tc>
          <w:tcPr>
            <w:tcW w:w="930" w:type="dxa"/>
            <w:vMerge w:val="continue"/>
            <w:vAlign w:val="center"/>
          </w:tcPr>
          <w:p>
            <w:pPr>
              <w:pStyle w:val="19"/>
              <w:spacing w:line="320" w:lineRule="exact"/>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四</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14</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023" w:type="dxa"/>
            <w:vAlign w:val="center"/>
          </w:tcPr>
          <w:p>
            <w:pPr>
              <w:snapToGrid w:val="0"/>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电子技术训练</w:t>
            </w:r>
          </w:p>
        </w:tc>
        <w:tc>
          <w:tcPr>
            <w:tcW w:w="627" w:type="dxa"/>
            <w:vAlign w:val="center"/>
          </w:tcPr>
          <w:p>
            <w:pPr>
              <w:pStyle w:val="19"/>
              <w:spacing w:line="32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1</w:t>
            </w:r>
          </w:p>
        </w:tc>
        <w:tc>
          <w:tcPr>
            <w:tcW w:w="93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snapToGrid w:val="0"/>
              <w:spacing w:line="320" w:lineRule="exact"/>
              <w:jc w:val="center"/>
            </w:pPr>
          </w:p>
        </w:tc>
        <w:tc>
          <w:tcPr>
            <w:tcW w:w="705" w:type="dxa"/>
            <w:vMerge w:val="continue"/>
            <w:vAlign w:val="center"/>
          </w:tcPr>
          <w:p>
            <w:pPr>
              <w:snapToGrid w:val="0"/>
              <w:spacing w:line="320" w:lineRule="exact"/>
              <w:jc w:val="center"/>
            </w:pPr>
          </w:p>
        </w:tc>
        <w:tc>
          <w:tcPr>
            <w:tcW w:w="870" w:type="dxa"/>
            <w:vMerge w:val="continue"/>
            <w:vAlign w:val="center"/>
          </w:tcPr>
          <w:p>
            <w:pPr>
              <w:snapToGrid w:val="0"/>
              <w:spacing w:line="320" w:lineRule="exact"/>
              <w:jc w:val="center"/>
            </w:pPr>
          </w:p>
        </w:tc>
        <w:tc>
          <w:tcPr>
            <w:tcW w:w="885" w:type="dxa"/>
            <w:vMerge w:val="continue"/>
            <w:vAlign w:val="center"/>
          </w:tcPr>
          <w:p>
            <w:pPr>
              <w:snapToGrid w:val="0"/>
              <w:spacing w:line="320" w:lineRule="exact"/>
              <w:jc w:val="center"/>
            </w:pPr>
          </w:p>
        </w:tc>
        <w:tc>
          <w:tcPr>
            <w:tcW w:w="4023" w:type="dxa"/>
            <w:vAlign w:val="center"/>
          </w:tcPr>
          <w:p>
            <w:pPr>
              <w:snapToGrid w:val="0"/>
              <w:spacing w:line="320" w:lineRule="exact"/>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数控机床操作加工技术训练</w:t>
            </w:r>
          </w:p>
        </w:tc>
        <w:tc>
          <w:tcPr>
            <w:tcW w:w="627" w:type="dxa"/>
            <w:vAlign w:val="center"/>
          </w:tcPr>
          <w:p>
            <w:pPr>
              <w:snapToGrid w:val="0"/>
              <w:spacing w:line="320" w:lineRule="exact"/>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w:t>
            </w:r>
          </w:p>
        </w:tc>
        <w:tc>
          <w:tcPr>
            <w:tcW w:w="930" w:type="dxa"/>
            <w:vMerge w:val="continue"/>
            <w:vAlign w:val="center"/>
          </w:tcPr>
          <w:p>
            <w:pPr>
              <w:snapToGrid w:val="0"/>
              <w:spacing w:line="320" w:lineRule="exact"/>
              <w:jc w:val="center"/>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snapToGrid w:val="0"/>
              <w:spacing w:line="320" w:lineRule="exact"/>
              <w:jc w:val="center"/>
            </w:pPr>
          </w:p>
        </w:tc>
        <w:tc>
          <w:tcPr>
            <w:tcW w:w="705" w:type="dxa"/>
            <w:vMerge w:val="continue"/>
            <w:vAlign w:val="center"/>
          </w:tcPr>
          <w:p>
            <w:pPr>
              <w:snapToGrid w:val="0"/>
              <w:spacing w:line="320" w:lineRule="exact"/>
              <w:jc w:val="center"/>
            </w:pPr>
          </w:p>
        </w:tc>
        <w:tc>
          <w:tcPr>
            <w:tcW w:w="870" w:type="dxa"/>
            <w:vMerge w:val="continue"/>
            <w:vAlign w:val="center"/>
          </w:tcPr>
          <w:p>
            <w:pPr>
              <w:snapToGrid w:val="0"/>
              <w:spacing w:line="320" w:lineRule="exact"/>
              <w:jc w:val="center"/>
            </w:pPr>
          </w:p>
        </w:tc>
        <w:tc>
          <w:tcPr>
            <w:tcW w:w="885" w:type="dxa"/>
            <w:vMerge w:val="continue"/>
            <w:vAlign w:val="center"/>
          </w:tcPr>
          <w:p>
            <w:pPr>
              <w:snapToGrid w:val="0"/>
              <w:spacing w:line="320" w:lineRule="exact"/>
              <w:jc w:val="center"/>
            </w:pPr>
          </w:p>
        </w:tc>
        <w:tc>
          <w:tcPr>
            <w:tcW w:w="4023" w:type="dxa"/>
            <w:vAlign w:val="center"/>
          </w:tcPr>
          <w:p>
            <w:pPr>
              <w:snapToGrid w:val="0"/>
              <w:spacing w:line="320" w:lineRule="exact"/>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车工工艺与技术训练</w:t>
            </w:r>
          </w:p>
        </w:tc>
        <w:tc>
          <w:tcPr>
            <w:tcW w:w="627" w:type="dxa"/>
            <w:vAlign w:val="center"/>
          </w:tcPr>
          <w:p>
            <w:pPr>
              <w:snapToGrid w:val="0"/>
              <w:spacing w:line="320" w:lineRule="exact"/>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w:t>
            </w:r>
          </w:p>
        </w:tc>
        <w:tc>
          <w:tcPr>
            <w:tcW w:w="930" w:type="dxa"/>
            <w:vMerge w:val="continue"/>
            <w:vAlign w:val="center"/>
          </w:tcPr>
          <w:p>
            <w:pPr>
              <w:snapToGrid w:val="0"/>
              <w:spacing w:line="320" w:lineRule="exact"/>
              <w:jc w:val="center"/>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60"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五</w:t>
            </w:r>
          </w:p>
        </w:tc>
        <w:tc>
          <w:tcPr>
            <w:tcW w:w="705"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w:t>
            </w:r>
          </w:p>
        </w:tc>
        <w:tc>
          <w:tcPr>
            <w:tcW w:w="885"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车削技术（数控车工）实训与考级</w:t>
            </w:r>
          </w:p>
        </w:tc>
        <w:tc>
          <w:tcPr>
            <w:tcW w:w="627" w:type="dxa"/>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6</w:t>
            </w:r>
          </w:p>
        </w:tc>
        <w:tc>
          <w:tcPr>
            <w:tcW w:w="930"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六</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14</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现代制造技术与检测</w:t>
            </w:r>
          </w:p>
        </w:tc>
        <w:tc>
          <w:tcPr>
            <w:tcW w:w="627" w:type="dxa"/>
          </w:tcPr>
          <w:p>
            <w:pPr>
              <w:pStyle w:val="19"/>
              <w:spacing w:line="32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2</w:t>
            </w:r>
          </w:p>
        </w:tc>
        <w:tc>
          <w:tcPr>
            <w:tcW w:w="930" w:type="dxa"/>
            <w:vMerge w:val="restart"/>
            <w:vAlign w:val="center"/>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pPr>
          </w:p>
        </w:tc>
        <w:tc>
          <w:tcPr>
            <w:tcW w:w="705" w:type="dxa"/>
            <w:vMerge w:val="continue"/>
            <w:vAlign w:val="center"/>
          </w:tcPr>
          <w:p>
            <w:pPr>
              <w:pStyle w:val="19"/>
              <w:spacing w:line="320" w:lineRule="exact"/>
            </w:pPr>
          </w:p>
        </w:tc>
        <w:tc>
          <w:tcPr>
            <w:tcW w:w="870" w:type="dxa"/>
            <w:vMerge w:val="continue"/>
            <w:vAlign w:val="center"/>
          </w:tcPr>
          <w:p>
            <w:pPr>
              <w:pStyle w:val="19"/>
              <w:spacing w:line="320" w:lineRule="exact"/>
            </w:pPr>
          </w:p>
        </w:tc>
        <w:tc>
          <w:tcPr>
            <w:tcW w:w="885" w:type="dxa"/>
            <w:vMerge w:val="continue"/>
            <w:vAlign w:val="center"/>
          </w:tcPr>
          <w:p>
            <w:pPr>
              <w:pStyle w:val="19"/>
              <w:spacing w:line="320" w:lineRule="exact"/>
            </w:pP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智能制造单元应用技术</w:t>
            </w:r>
          </w:p>
        </w:tc>
        <w:tc>
          <w:tcPr>
            <w:tcW w:w="627" w:type="dxa"/>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w:t>
            </w:r>
          </w:p>
        </w:tc>
        <w:tc>
          <w:tcPr>
            <w:tcW w:w="930" w:type="dxa"/>
            <w:vMerge w:val="continue"/>
            <w:vAlign w:val="center"/>
          </w:tcPr>
          <w:p>
            <w:pPr>
              <w:pStyle w:val="19"/>
              <w:spacing w:line="320" w:lineRule="exact"/>
              <w:rPr>
                <w:rFonts w:hint="eastAsia" w:asciiTheme="minorEastAsia" w:hAnsiTheme="minorEastAsia" w:eastAsia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七</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14</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多轴数控加工技术   </w:t>
            </w:r>
            <w:r>
              <w:rPr>
                <w:rFonts w:hint="eastAsia" w:asciiTheme="minorEastAsia" w:hAnsiTheme="minorEastAsia" w:eastAsiaTheme="minorEastAsia"/>
                <w:color w:val="auto"/>
                <w:sz w:val="21"/>
                <w:szCs w:val="21"/>
                <w:highlight w:val="none"/>
              </w:rPr>
              <w:tab/>
            </w:r>
          </w:p>
        </w:tc>
        <w:tc>
          <w:tcPr>
            <w:tcW w:w="627" w:type="dxa"/>
          </w:tcPr>
          <w:p>
            <w:pPr>
              <w:pStyle w:val="19"/>
              <w:spacing w:line="32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3</w:t>
            </w:r>
          </w:p>
        </w:tc>
        <w:tc>
          <w:tcPr>
            <w:tcW w:w="93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pPr>
          </w:p>
        </w:tc>
        <w:tc>
          <w:tcPr>
            <w:tcW w:w="705" w:type="dxa"/>
            <w:vMerge w:val="continue"/>
            <w:vAlign w:val="center"/>
          </w:tcPr>
          <w:p>
            <w:pPr>
              <w:pStyle w:val="19"/>
              <w:spacing w:line="320" w:lineRule="exact"/>
            </w:pPr>
          </w:p>
        </w:tc>
        <w:tc>
          <w:tcPr>
            <w:tcW w:w="870" w:type="dxa"/>
            <w:vMerge w:val="continue"/>
            <w:vAlign w:val="center"/>
          </w:tcPr>
          <w:p>
            <w:pPr>
              <w:pStyle w:val="19"/>
              <w:spacing w:line="320" w:lineRule="exact"/>
            </w:pPr>
          </w:p>
        </w:tc>
        <w:tc>
          <w:tcPr>
            <w:tcW w:w="885" w:type="dxa"/>
            <w:vMerge w:val="continue"/>
            <w:vAlign w:val="center"/>
          </w:tcPr>
          <w:p>
            <w:pPr>
              <w:pStyle w:val="19"/>
              <w:spacing w:line="320" w:lineRule="exact"/>
            </w:pPr>
          </w:p>
        </w:tc>
        <w:tc>
          <w:tcPr>
            <w:tcW w:w="4023" w:type="dxa"/>
            <w:vAlign w:val="center"/>
          </w:tcPr>
          <w:p>
            <w:pPr>
              <w:pStyle w:val="19"/>
              <w:spacing w:line="320" w:lineRule="exact"/>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社会实践</w:t>
            </w:r>
            <w:r>
              <w:rPr>
                <w:rFonts w:hint="eastAsia" w:asciiTheme="minorEastAsia" w:hAnsiTheme="minorEastAsia" w:eastAsiaTheme="minorEastAsia"/>
                <w:color w:val="auto"/>
                <w:sz w:val="21"/>
                <w:szCs w:val="21"/>
                <w:highlight w:val="none"/>
              </w:rPr>
              <w:tab/>
            </w:r>
          </w:p>
        </w:tc>
        <w:tc>
          <w:tcPr>
            <w:tcW w:w="627" w:type="dxa"/>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w:t>
            </w:r>
          </w:p>
        </w:tc>
        <w:tc>
          <w:tcPr>
            <w:tcW w:w="930" w:type="dxa"/>
            <w:vMerge w:val="continue"/>
            <w:vAlign w:val="center"/>
          </w:tcPr>
          <w:p>
            <w:pPr>
              <w:pStyle w:val="19"/>
              <w:spacing w:line="320" w:lineRule="exact"/>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八</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lang w:val="en-US" w:eastAsia="zh-CN"/>
              </w:rPr>
              <w:t>0</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数控机床控制技术基础</w:t>
            </w:r>
          </w:p>
        </w:tc>
        <w:tc>
          <w:tcPr>
            <w:tcW w:w="627" w:type="dxa"/>
          </w:tcPr>
          <w:p>
            <w:pPr>
              <w:pStyle w:val="19"/>
              <w:spacing w:line="32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3</w:t>
            </w:r>
          </w:p>
        </w:tc>
        <w:tc>
          <w:tcPr>
            <w:tcW w:w="93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660" w:type="dxa"/>
            <w:vMerge w:val="continue"/>
            <w:vAlign w:val="center"/>
          </w:tcPr>
          <w:p>
            <w:pPr>
              <w:pStyle w:val="19"/>
              <w:spacing w:line="320" w:lineRule="exact"/>
            </w:pPr>
          </w:p>
        </w:tc>
        <w:tc>
          <w:tcPr>
            <w:tcW w:w="705" w:type="dxa"/>
            <w:vMerge w:val="continue"/>
            <w:vAlign w:val="center"/>
          </w:tcPr>
          <w:p>
            <w:pPr>
              <w:pStyle w:val="19"/>
              <w:spacing w:line="320" w:lineRule="exact"/>
            </w:pPr>
          </w:p>
        </w:tc>
        <w:tc>
          <w:tcPr>
            <w:tcW w:w="870" w:type="dxa"/>
            <w:vMerge w:val="continue"/>
            <w:vAlign w:val="center"/>
          </w:tcPr>
          <w:p>
            <w:pPr>
              <w:pStyle w:val="19"/>
              <w:spacing w:line="320" w:lineRule="exact"/>
            </w:pPr>
          </w:p>
        </w:tc>
        <w:tc>
          <w:tcPr>
            <w:tcW w:w="885" w:type="dxa"/>
            <w:vMerge w:val="continue"/>
            <w:vAlign w:val="center"/>
          </w:tcPr>
          <w:p>
            <w:pPr>
              <w:pStyle w:val="19"/>
              <w:spacing w:line="320" w:lineRule="exact"/>
            </w:pPr>
          </w:p>
        </w:tc>
        <w:tc>
          <w:tcPr>
            <w:tcW w:w="4023" w:type="dxa"/>
            <w:vAlign w:val="center"/>
          </w:tcPr>
          <w:p>
            <w:pPr>
              <w:pStyle w:val="19"/>
              <w:spacing w:line="320" w:lineRule="exact"/>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数控车铣加工技能训练</w:t>
            </w:r>
          </w:p>
        </w:tc>
        <w:tc>
          <w:tcPr>
            <w:tcW w:w="627" w:type="dxa"/>
          </w:tcPr>
          <w:p>
            <w:pPr>
              <w:pStyle w:val="19"/>
              <w:spacing w:line="320" w:lineRule="exact"/>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w:t>
            </w:r>
          </w:p>
        </w:tc>
        <w:tc>
          <w:tcPr>
            <w:tcW w:w="930" w:type="dxa"/>
            <w:vMerge w:val="continue"/>
            <w:vAlign w:val="center"/>
          </w:tcPr>
          <w:p>
            <w:pPr>
              <w:pStyle w:val="19"/>
              <w:spacing w:line="320" w:lineRule="exact"/>
              <w:rPr>
                <w:rFonts w:hint="eastAsia"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66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九</w:t>
            </w:r>
          </w:p>
        </w:tc>
        <w:tc>
          <w:tcPr>
            <w:tcW w:w="70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Merge w:val="restart"/>
            <w:vAlign w:val="center"/>
          </w:tcPr>
          <w:p>
            <w:pPr>
              <w:pStyle w:val="19"/>
              <w:spacing w:line="320" w:lineRule="exact"/>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6</w:t>
            </w:r>
          </w:p>
        </w:tc>
        <w:tc>
          <w:tcPr>
            <w:tcW w:w="885" w:type="dxa"/>
            <w:vMerge w:val="restart"/>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车削技术（数控车工）实训与考级</w:t>
            </w:r>
          </w:p>
        </w:tc>
        <w:tc>
          <w:tcPr>
            <w:tcW w:w="627" w:type="dxa"/>
            <w:vAlign w:val="center"/>
          </w:tcPr>
          <w:p>
            <w:pPr>
              <w:pStyle w:val="19"/>
              <w:spacing w:line="32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6</w:t>
            </w:r>
          </w:p>
        </w:tc>
        <w:tc>
          <w:tcPr>
            <w:tcW w:w="930" w:type="dxa"/>
            <w:vMerge w:val="restart"/>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60" w:type="dxa"/>
            <w:vMerge w:val="continue"/>
            <w:vAlign w:val="center"/>
          </w:tcPr>
          <w:p>
            <w:pPr>
              <w:pStyle w:val="19"/>
              <w:spacing w:line="320" w:lineRule="exact"/>
              <w:rPr>
                <w:rFonts w:asciiTheme="minorEastAsia" w:hAnsiTheme="minorEastAsia" w:eastAsiaTheme="minorEastAsia"/>
                <w:color w:val="auto"/>
                <w:sz w:val="21"/>
                <w:szCs w:val="21"/>
                <w:highlight w:val="none"/>
              </w:rPr>
            </w:pPr>
          </w:p>
        </w:tc>
        <w:tc>
          <w:tcPr>
            <w:tcW w:w="705" w:type="dxa"/>
            <w:vMerge w:val="continue"/>
            <w:vAlign w:val="center"/>
          </w:tcPr>
          <w:p>
            <w:pPr>
              <w:pStyle w:val="19"/>
              <w:spacing w:line="320" w:lineRule="exact"/>
              <w:jc w:val="center"/>
              <w:rPr>
                <w:rFonts w:asciiTheme="minorEastAsia" w:hAnsiTheme="minorEastAsia" w:eastAsiaTheme="minorEastAsia"/>
                <w:color w:val="auto"/>
                <w:sz w:val="21"/>
                <w:szCs w:val="21"/>
                <w:highlight w:val="none"/>
              </w:rPr>
            </w:pPr>
          </w:p>
        </w:tc>
        <w:tc>
          <w:tcPr>
            <w:tcW w:w="870" w:type="dxa"/>
            <w:vMerge w:val="continue"/>
            <w:vAlign w:val="center"/>
          </w:tcPr>
          <w:p>
            <w:pPr>
              <w:pStyle w:val="19"/>
              <w:spacing w:line="320" w:lineRule="exact"/>
              <w:jc w:val="center"/>
              <w:rPr>
                <w:rFonts w:asciiTheme="minorEastAsia" w:hAnsiTheme="minorEastAsia" w:eastAsiaTheme="minorEastAsia"/>
                <w:color w:val="auto"/>
                <w:sz w:val="21"/>
                <w:szCs w:val="21"/>
                <w:highlight w:val="none"/>
              </w:rPr>
            </w:pPr>
          </w:p>
        </w:tc>
        <w:tc>
          <w:tcPr>
            <w:tcW w:w="885" w:type="dxa"/>
            <w:vMerge w:val="continue"/>
            <w:vAlign w:val="center"/>
          </w:tcPr>
          <w:p>
            <w:pPr>
              <w:pStyle w:val="19"/>
              <w:spacing w:line="320" w:lineRule="exact"/>
              <w:jc w:val="center"/>
              <w:rPr>
                <w:rFonts w:asciiTheme="minorEastAsia" w:hAnsiTheme="minorEastAsia" w:eastAsiaTheme="minorEastAsia"/>
                <w:color w:val="auto"/>
                <w:sz w:val="21"/>
                <w:szCs w:val="21"/>
                <w:highlight w:val="none"/>
              </w:rPr>
            </w:pPr>
          </w:p>
        </w:tc>
        <w:tc>
          <w:tcPr>
            <w:tcW w:w="4023"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毕业设计</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6</w:t>
            </w:r>
          </w:p>
        </w:tc>
        <w:tc>
          <w:tcPr>
            <w:tcW w:w="930" w:type="dxa"/>
            <w:vMerge w:val="continue"/>
            <w:vAlign w:val="center"/>
          </w:tcPr>
          <w:p>
            <w:pPr>
              <w:pStyle w:val="19"/>
              <w:spacing w:line="320" w:lineRule="exact"/>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60"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w:t>
            </w:r>
          </w:p>
        </w:tc>
        <w:tc>
          <w:tcPr>
            <w:tcW w:w="705"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w:t>
            </w:r>
          </w:p>
        </w:tc>
        <w:tc>
          <w:tcPr>
            <w:tcW w:w="870"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0</w:t>
            </w:r>
          </w:p>
        </w:tc>
        <w:tc>
          <w:tcPr>
            <w:tcW w:w="885"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0</w:t>
            </w:r>
          </w:p>
        </w:tc>
        <w:tc>
          <w:tcPr>
            <w:tcW w:w="4023" w:type="dxa"/>
          </w:tcPr>
          <w:p>
            <w:pPr>
              <w:pStyle w:val="19"/>
              <w:spacing w:line="320" w:lineRule="exact"/>
              <w:ind w:firstLine="1470" w:firstLineChars="700"/>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岗位实习</w:t>
            </w:r>
          </w:p>
        </w:tc>
        <w:tc>
          <w:tcPr>
            <w:tcW w:w="627" w:type="dxa"/>
            <w:vAlign w:val="center"/>
          </w:tcPr>
          <w:p>
            <w:pPr>
              <w:pStyle w:val="19"/>
              <w:spacing w:line="320" w:lineRule="exact"/>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18</w:t>
            </w:r>
          </w:p>
        </w:tc>
        <w:tc>
          <w:tcPr>
            <w:tcW w:w="930"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660" w:type="dxa"/>
            <w:vAlign w:val="center"/>
          </w:tcPr>
          <w:p>
            <w:pPr>
              <w:pStyle w:val="19"/>
              <w:spacing w:line="32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合计</w:t>
            </w:r>
          </w:p>
        </w:tc>
        <w:tc>
          <w:tcPr>
            <w:tcW w:w="705" w:type="dxa"/>
            <w:vAlign w:val="center"/>
          </w:tcPr>
          <w:p>
            <w:pPr>
              <w:pStyle w:val="19"/>
              <w:spacing w:line="32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200</w:t>
            </w:r>
          </w:p>
        </w:tc>
        <w:tc>
          <w:tcPr>
            <w:tcW w:w="870" w:type="dxa"/>
            <w:vAlign w:val="center"/>
          </w:tcPr>
          <w:p>
            <w:pPr>
              <w:widowControl/>
              <w:jc w:val="center"/>
              <w:textAlignment w:val="top"/>
              <w:rPr>
                <w:rFonts w:hint="default" w:asciiTheme="minorEastAsia" w:hAnsiTheme="minorEastAsia" w:eastAsiaTheme="minor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115</w:t>
            </w:r>
          </w:p>
        </w:tc>
        <w:tc>
          <w:tcPr>
            <w:tcW w:w="885" w:type="dxa"/>
            <w:vAlign w:val="center"/>
          </w:tcPr>
          <w:p>
            <w:pPr>
              <w:widowControl/>
              <w:jc w:val="center"/>
              <w:textAlignment w:val="top"/>
              <w:rPr>
                <w:rFonts w:asciiTheme="minorEastAsia" w:hAnsiTheme="minorEastAsia" w:eastAsiaTheme="minorEastAsia"/>
                <w:color w:val="auto"/>
                <w:sz w:val="21"/>
                <w:szCs w:val="21"/>
                <w:highlight w:val="none"/>
              </w:rPr>
            </w:pPr>
            <w:r>
              <w:rPr>
                <w:rFonts w:hint="eastAsia" w:ascii="宋体" w:hAnsi="宋体" w:eastAsia="宋体" w:cs="宋体"/>
                <w:color w:val="auto"/>
                <w:kern w:val="0"/>
                <w:sz w:val="21"/>
                <w:szCs w:val="21"/>
                <w:highlight w:val="none"/>
                <w:lang w:bidi="ar"/>
              </w:rPr>
              <w:t>9</w:t>
            </w:r>
          </w:p>
        </w:tc>
        <w:tc>
          <w:tcPr>
            <w:tcW w:w="4023" w:type="dxa"/>
            <w:vAlign w:val="center"/>
          </w:tcPr>
          <w:p>
            <w:pPr>
              <w:widowControl/>
              <w:jc w:val="center"/>
              <w:textAlignment w:val="top"/>
              <w:rPr>
                <w:rFonts w:asciiTheme="minorEastAsia" w:hAnsiTheme="minorEastAsia" w:eastAsiaTheme="minorEastAsia"/>
                <w:color w:val="auto"/>
                <w:sz w:val="21"/>
                <w:szCs w:val="21"/>
                <w:highlight w:val="none"/>
              </w:rPr>
            </w:pPr>
          </w:p>
        </w:tc>
        <w:tc>
          <w:tcPr>
            <w:tcW w:w="627" w:type="dxa"/>
            <w:vAlign w:val="center"/>
          </w:tcPr>
          <w:p>
            <w:pPr>
              <w:widowControl/>
              <w:jc w:val="center"/>
              <w:textAlignment w:val="top"/>
              <w:rPr>
                <w:rFonts w:hint="default" w:asciiTheme="minorEastAsia" w:hAnsiTheme="minorEastAsia" w:eastAsiaTheme="minor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65</w:t>
            </w:r>
          </w:p>
        </w:tc>
        <w:tc>
          <w:tcPr>
            <w:tcW w:w="930" w:type="dxa"/>
            <w:vAlign w:val="center"/>
          </w:tcPr>
          <w:p>
            <w:pPr>
              <w:widowControl/>
              <w:jc w:val="center"/>
              <w:textAlignment w:val="top"/>
              <w:rPr>
                <w:rFonts w:hint="default" w:asciiTheme="minorEastAsia" w:hAnsiTheme="minorEastAsia" w:eastAsiaTheme="minor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11</w:t>
            </w:r>
          </w:p>
        </w:tc>
      </w:tr>
    </w:tbl>
    <w:p>
      <w:pPr>
        <w:pStyle w:val="3"/>
        <w:spacing w:line="500" w:lineRule="exact"/>
        <w:ind w:left="0" w:leftChars="0" w:firstLine="0" w:firstLineChars="0"/>
        <w:rPr>
          <w:rFonts w:ascii="仿宋" w:hAnsi="仿宋" w:eastAsia="仿宋"/>
          <w:b w:val="0"/>
          <w:szCs w:val="28"/>
          <w:highlight w:val="none"/>
        </w:rPr>
      </w:pPr>
      <w:bookmarkStart w:id="42" w:name="_Toc31245"/>
      <w:r>
        <w:rPr>
          <w:rFonts w:hint="eastAsia" w:ascii="仿宋" w:hAnsi="仿宋" w:eastAsia="仿宋"/>
          <w:bCs/>
          <w:szCs w:val="28"/>
          <w:highlight w:val="none"/>
        </w:rPr>
        <w:t>（二）专业教学进程安排表（见附件）</w:t>
      </w:r>
      <w:bookmarkEnd w:id="40"/>
      <w:bookmarkEnd w:id="42"/>
    </w:p>
    <w:p>
      <w:pPr>
        <w:pStyle w:val="3"/>
        <w:spacing w:line="500" w:lineRule="exact"/>
        <w:ind w:left="0" w:leftChars="0" w:firstLine="0" w:firstLineChars="0"/>
        <w:rPr>
          <w:rFonts w:hint="eastAsia" w:ascii="仿宋" w:hAnsi="仿宋" w:eastAsia="仿宋"/>
          <w:bCs/>
          <w:szCs w:val="28"/>
          <w:highlight w:val="none"/>
        </w:rPr>
      </w:pPr>
      <w:bookmarkStart w:id="43" w:name="_Toc32420"/>
      <w:bookmarkStart w:id="44" w:name="_Toc29393"/>
      <w:r>
        <w:rPr>
          <w:rFonts w:hint="eastAsia" w:ascii="仿宋" w:hAnsi="仿宋" w:eastAsia="仿宋"/>
          <w:bCs/>
          <w:szCs w:val="28"/>
          <w:highlight w:val="none"/>
        </w:rPr>
        <w:t>（三）学时安排</w:t>
      </w:r>
      <w:bookmarkEnd w:id="43"/>
      <w:r>
        <w:rPr>
          <w:rFonts w:hint="eastAsia" w:ascii="仿宋" w:hAnsi="仿宋" w:eastAsia="仿宋"/>
          <w:bCs/>
          <w:szCs w:val="28"/>
          <w:highlight w:val="none"/>
        </w:rPr>
        <w:t>表</w:t>
      </w:r>
      <w:bookmarkEnd w:id="44"/>
    </w:p>
    <w:p>
      <w:pPr>
        <w:jc w:val="center"/>
        <w:rPr>
          <w:rFonts w:hint="eastAsia" w:ascii="楷体" w:hAnsi="楷体" w:eastAsia="楷体" w:cs="楷体"/>
          <w:sz w:val="28"/>
          <w:szCs w:val="28"/>
        </w:rPr>
      </w:pPr>
      <w:r>
        <w:rPr>
          <w:rFonts w:hint="eastAsia" w:ascii="楷体" w:hAnsi="楷体" w:eastAsia="楷体" w:cs="楷体"/>
          <w:sz w:val="28"/>
          <w:szCs w:val="28"/>
        </w:rPr>
        <w:t>表：</w:t>
      </w:r>
      <w:r>
        <w:rPr>
          <w:rFonts w:hint="eastAsia" w:ascii="楷体" w:hAnsi="楷体" w:eastAsia="楷体" w:cs="楷体"/>
          <w:sz w:val="28"/>
          <w:szCs w:val="28"/>
          <w:lang w:eastAsia="zh-CN"/>
        </w:rPr>
        <w:t>学时</w:t>
      </w:r>
      <w:r>
        <w:rPr>
          <w:rFonts w:hint="eastAsia" w:ascii="楷体" w:hAnsi="楷体" w:eastAsia="楷体" w:cs="楷体"/>
          <w:sz w:val="28"/>
          <w:szCs w:val="28"/>
        </w:rPr>
        <w:t>时间表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2284"/>
        <w:gridCol w:w="1656"/>
        <w:gridCol w:w="165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9" w:type="dxa"/>
            <w:shd w:val="clear" w:color="auto" w:fill="auto"/>
            <w:vAlign w:val="center"/>
          </w:tcPr>
          <w:p>
            <w:pPr>
              <w:widowControl/>
              <w:jc w:val="center"/>
              <w:rPr>
                <w:rFonts w:cs="仿宋" w:asciiTheme="minorEastAsia" w:hAnsiTheme="minorEastAsia" w:eastAsiaTheme="minorEastAsia"/>
                <w:b/>
                <w:kern w:val="0"/>
                <w:sz w:val="21"/>
                <w:szCs w:val="21"/>
                <w:highlight w:val="none"/>
              </w:rPr>
            </w:pPr>
            <w:r>
              <w:rPr>
                <w:rFonts w:hint="eastAsia" w:cs="仿宋" w:asciiTheme="minorEastAsia" w:hAnsiTheme="minorEastAsia" w:eastAsiaTheme="minorEastAsia"/>
                <w:b/>
                <w:kern w:val="0"/>
                <w:sz w:val="21"/>
                <w:szCs w:val="21"/>
                <w:highlight w:val="none"/>
              </w:rPr>
              <w:t>序号</w:t>
            </w:r>
          </w:p>
        </w:tc>
        <w:tc>
          <w:tcPr>
            <w:tcW w:w="2284" w:type="dxa"/>
            <w:shd w:val="clear" w:color="auto" w:fill="auto"/>
            <w:vAlign w:val="center"/>
          </w:tcPr>
          <w:p>
            <w:pPr>
              <w:widowControl/>
              <w:jc w:val="center"/>
              <w:rPr>
                <w:rFonts w:cs="仿宋" w:asciiTheme="minorEastAsia" w:hAnsiTheme="minorEastAsia" w:eastAsiaTheme="minorEastAsia"/>
                <w:b/>
                <w:kern w:val="0"/>
                <w:sz w:val="21"/>
                <w:szCs w:val="21"/>
                <w:highlight w:val="none"/>
              </w:rPr>
            </w:pPr>
            <w:r>
              <w:rPr>
                <w:rFonts w:hint="eastAsia" w:cs="仿宋" w:asciiTheme="minorEastAsia" w:hAnsiTheme="minorEastAsia" w:eastAsiaTheme="minorEastAsia"/>
                <w:b/>
                <w:kern w:val="0"/>
                <w:sz w:val="21"/>
                <w:szCs w:val="21"/>
                <w:highlight w:val="none"/>
              </w:rPr>
              <w:t>课程类别</w:t>
            </w:r>
          </w:p>
        </w:tc>
        <w:tc>
          <w:tcPr>
            <w:tcW w:w="1656" w:type="dxa"/>
            <w:shd w:val="clear" w:color="auto" w:fill="auto"/>
            <w:vAlign w:val="center"/>
          </w:tcPr>
          <w:p>
            <w:pPr>
              <w:widowControl/>
              <w:jc w:val="center"/>
              <w:rPr>
                <w:rFonts w:cs="仿宋" w:asciiTheme="minorEastAsia" w:hAnsiTheme="minorEastAsia" w:eastAsiaTheme="minorEastAsia"/>
                <w:b/>
                <w:kern w:val="0"/>
                <w:sz w:val="21"/>
                <w:szCs w:val="21"/>
                <w:highlight w:val="none"/>
              </w:rPr>
            </w:pPr>
            <w:r>
              <w:rPr>
                <w:rFonts w:hint="eastAsia" w:cs="仿宋" w:asciiTheme="minorEastAsia" w:hAnsiTheme="minorEastAsia" w:eastAsiaTheme="minorEastAsia"/>
                <w:b/>
                <w:kern w:val="0"/>
                <w:sz w:val="21"/>
                <w:szCs w:val="21"/>
                <w:highlight w:val="none"/>
              </w:rPr>
              <w:t>学时</w:t>
            </w:r>
          </w:p>
        </w:tc>
        <w:tc>
          <w:tcPr>
            <w:tcW w:w="1656" w:type="dxa"/>
            <w:shd w:val="clear" w:color="auto" w:fill="auto"/>
            <w:vAlign w:val="center"/>
          </w:tcPr>
          <w:p>
            <w:pPr>
              <w:widowControl/>
              <w:jc w:val="center"/>
              <w:rPr>
                <w:rFonts w:cs="仿宋" w:asciiTheme="minorEastAsia" w:hAnsiTheme="minorEastAsia" w:eastAsiaTheme="minorEastAsia"/>
                <w:b/>
                <w:kern w:val="0"/>
                <w:sz w:val="21"/>
                <w:szCs w:val="21"/>
                <w:highlight w:val="none"/>
              </w:rPr>
            </w:pPr>
            <w:r>
              <w:rPr>
                <w:rFonts w:hint="eastAsia" w:cs="仿宋" w:asciiTheme="minorEastAsia" w:hAnsiTheme="minorEastAsia" w:eastAsiaTheme="minorEastAsia"/>
                <w:b/>
                <w:kern w:val="0"/>
                <w:sz w:val="21"/>
                <w:szCs w:val="21"/>
                <w:highlight w:val="none"/>
              </w:rPr>
              <w:t>占比</w:t>
            </w:r>
          </w:p>
        </w:tc>
        <w:tc>
          <w:tcPr>
            <w:tcW w:w="1671" w:type="dxa"/>
            <w:shd w:val="clear" w:color="auto" w:fill="auto"/>
            <w:vAlign w:val="center"/>
          </w:tcPr>
          <w:p>
            <w:pPr>
              <w:widowControl/>
              <w:jc w:val="center"/>
              <w:rPr>
                <w:rFonts w:cs="仿宋" w:asciiTheme="minorEastAsia" w:hAnsiTheme="minorEastAsia" w:eastAsiaTheme="minorEastAsia"/>
                <w:b/>
                <w:kern w:val="0"/>
                <w:sz w:val="21"/>
                <w:szCs w:val="21"/>
                <w:highlight w:val="none"/>
              </w:rPr>
            </w:pPr>
            <w:r>
              <w:rPr>
                <w:rFonts w:hint="eastAsia" w:cs="仿宋" w:asciiTheme="minorEastAsia" w:hAnsiTheme="minorEastAsia" w:eastAsiaTheme="minorEastAsia"/>
                <w:b/>
                <w:kern w:val="0"/>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9"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cs="仿宋" w:asciiTheme="minorEastAsia" w:hAnsiTheme="minorEastAsia" w:eastAsiaTheme="minorEastAsia"/>
                <w:bCs/>
                <w:kern w:val="0"/>
                <w:sz w:val="21"/>
                <w:szCs w:val="21"/>
                <w:highlight w:val="none"/>
              </w:rPr>
              <w:t>1</w:t>
            </w:r>
          </w:p>
        </w:tc>
        <w:tc>
          <w:tcPr>
            <w:tcW w:w="2284"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公共基础课程</w:t>
            </w:r>
          </w:p>
        </w:tc>
        <w:tc>
          <w:tcPr>
            <w:tcW w:w="1656" w:type="dxa"/>
            <w:shd w:val="clear" w:color="auto" w:fill="auto"/>
            <w:vAlign w:val="center"/>
          </w:tcPr>
          <w:p>
            <w:pPr>
              <w:widowControl/>
              <w:jc w:val="center"/>
              <w:rPr>
                <w:rFonts w:hint="default" w:cs="仿宋" w:asciiTheme="minorEastAsia" w:hAnsiTheme="minorEastAsia" w:eastAsiaTheme="minorEastAsia"/>
                <w:bCs/>
                <w:kern w:val="0"/>
                <w:sz w:val="21"/>
                <w:szCs w:val="21"/>
                <w:highlight w:val="none"/>
                <w:lang w:val="en-US" w:eastAsia="zh-CN"/>
              </w:rPr>
            </w:pPr>
            <w:r>
              <w:rPr>
                <w:rFonts w:hint="eastAsia" w:cs="仿宋" w:asciiTheme="minorEastAsia" w:hAnsiTheme="minorEastAsia" w:eastAsiaTheme="minorEastAsia"/>
                <w:bCs/>
                <w:kern w:val="0"/>
                <w:sz w:val="21"/>
                <w:szCs w:val="21"/>
                <w:highlight w:val="none"/>
              </w:rPr>
              <w:t>18</w:t>
            </w:r>
            <w:r>
              <w:rPr>
                <w:rFonts w:hint="eastAsia" w:cs="仿宋" w:asciiTheme="minorEastAsia" w:hAnsiTheme="minorEastAsia" w:eastAsiaTheme="minorEastAsia"/>
                <w:bCs/>
                <w:kern w:val="0"/>
                <w:sz w:val="21"/>
                <w:szCs w:val="21"/>
                <w:highlight w:val="none"/>
                <w:lang w:val="en-US" w:eastAsia="zh-CN"/>
              </w:rPr>
              <w:t>45</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37.</w:t>
            </w:r>
            <w:r>
              <w:rPr>
                <w:rFonts w:hint="eastAsia" w:cs="仿宋" w:asciiTheme="minorEastAsia" w:hAnsiTheme="minorEastAsia" w:eastAsiaTheme="minorEastAsia"/>
                <w:bCs/>
                <w:kern w:val="0"/>
                <w:sz w:val="21"/>
                <w:szCs w:val="21"/>
                <w:highlight w:val="none"/>
                <w:lang w:val="en-US" w:eastAsia="zh-CN"/>
              </w:rPr>
              <w:t>21</w:t>
            </w:r>
            <w:r>
              <w:rPr>
                <w:rFonts w:hint="eastAsia" w:cs="仿宋" w:asciiTheme="minorEastAsia" w:hAnsiTheme="minorEastAsia" w:eastAsiaTheme="minorEastAsia"/>
                <w:bCs/>
                <w:kern w:val="0"/>
                <w:sz w:val="21"/>
                <w:szCs w:val="21"/>
                <w:highlight w:val="none"/>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不低于</w:t>
            </w:r>
            <w:r>
              <w:rPr>
                <w:rFonts w:cs="仿宋" w:asciiTheme="minorEastAsia" w:hAnsiTheme="minorEastAsia" w:eastAsiaTheme="minorEastAsia"/>
                <w:bCs/>
                <w:kern w:val="0"/>
                <w:sz w:val="21"/>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9"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2</w:t>
            </w:r>
          </w:p>
        </w:tc>
        <w:tc>
          <w:tcPr>
            <w:tcW w:w="2284"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专业课程</w:t>
            </w:r>
          </w:p>
        </w:tc>
        <w:tc>
          <w:tcPr>
            <w:tcW w:w="1656" w:type="dxa"/>
            <w:shd w:val="clear" w:color="auto" w:fill="auto"/>
            <w:vAlign w:val="center"/>
          </w:tcPr>
          <w:p>
            <w:pPr>
              <w:widowControl/>
              <w:jc w:val="center"/>
              <w:rPr>
                <w:rFonts w:hint="default" w:cs="仿宋" w:asciiTheme="minorEastAsia" w:hAnsiTheme="minorEastAsia" w:eastAsiaTheme="minorEastAsia"/>
                <w:bCs/>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2304</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ascii="宋体" w:hAnsi="宋体" w:eastAsia="宋体" w:cs="宋体"/>
                <w:color w:val="000000"/>
                <w:kern w:val="0"/>
                <w:sz w:val="21"/>
                <w:szCs w:val="21"/>
                <w:highlight w:val="none"/>
                <w:lang w:bidi="ar"/>
              </w:rPr>
              <w:t>4</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46</w:t>
            </w:r>
            <w:r>
              <w:rPr>
                <w:rFonts w:hint="eastAsia" w:ascii="宋体" w:hAnsi="宋体" w:eastAsia="宋体" w:cs="宋体"/>
                <w:color w:val="000000"/>
                <w:kern w:val="0"/>
                <w:sz w:val="21"/>
                <w:szCs w:val="21"/>
                <w:highlight w:val="none"/>
                <w:lang w:bidi="ar"/>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9"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cs="仿宋" w:asciiTheme="minorEastAsia" w:hAnsiTheme="minorEastAsia" w:eastAsiaTheme="minorEastAsia"/>
                <w:bCs/>
                <w:kern w:val="0"/>
                <w:sz w:val="21"/>
                <w:szCs w:val="21"/>
                <w:highlight w:val="none"/>
              </w:rPr>
              <w:t>3</w:t>
            </w:r>
          </w:p>
        </w:tc>
        <w:tc>
          <w:tcPr>
            <w:tcW w:w="2284"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集中实践教学环节</w:t>
            </w:r>
          </w:p>
        </w:tc>
        <w:tc>
          <w:tcPr>
            <w:tcW w:w="1656" w:type="dxa"/>
            <w:shd w:val="clear" w:color="auto" w:fill="auto"/>
            <w:vAlign w:val="center"/>
          </w:tcPr>
          <w:p>
            <w:pPr>
              <w:widowControl/>
              <w:jc w:val="center"/>
              <w:rPr>
                <w:rFonts w:hint="default" w:cs="仿宋" w:asciiTheme="minorEastAsia" w:hAnsiTheme="minorEastAsia" w:eastAsiaTheme="minorEastAsia"/>
                <w:bCs/>
                <w:kern w:val="0"/>
                <w:sz w:val="21"/>
                <w:szCs w:val="21"/>
                <w:highlight w:val="none"/>
                <w:lang w:val="en-US" w:eastAsia="zh-CN"/>
              </w:rPr>
            </w:pPr>
            <w:r>
              <w:rPr>
                <w:rFonts w:hint="eastAsia" w:cs="仿宋" w:asciiTheme="minorEastAsia" w:hAnsiTheme="minorEastAsia" w:eastAsiaTheme="minorEastAsia"/>
                <w:bCs/>
                <w:kern w:val="0"/>
                <w:sz w:val="21"/>
                <w:szCs w:val="21"/>
                <w:highlight w:val="none"/>
                <w:lang w:val="en-US" w:eastAsia="zh-CN"/>
              </w:rPr>
              <w:t>810</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lang w:val="en-US" w:eastAsia="zh-CN"/>
              </w:rPr>
              <w:t>16.33</w:t>
            </w:r>
            <w:r>
              <w:rPr>
                <w:rFonts w:hint="eastAsia" w:cs="仿宋" w:asciiTheme="minorEastAsia" w:hAnsiTheme="minorEastAsia" w:eastAsiaTheme="minorEastAsia"/>
                <w:bCs/>
                <w:kern w:val="0"/>
                <w:sz w:val="21"/>
                <w:szCs w:val="21"/>
                <w:highlight w:val="none"/>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313" w:type="dxa"/>
            <w:gridSpan w:val="2"/>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总学时</w:t>
            </w:r>
          </w:p>
        </w:tc>
        <w:tc>
          <w:tcPr>
            <w:tcW w:w="1656" w:type="dxa"/>
            <w:shd w:val="clear" w:color="auto" w:fill="auto"/>
            <w:vAlign w:val="center"/>
          </w:tcPr>
          <w:p>
            <w:pPr>
              <w:widowControl/>
              <w:jc w:val="center"/>
              <w:rPr>
                <w:rFonts w:hint="default" w:cs="仿宋" w:asciiTheme="minorEastAsia" w:hAnsiTheme="minorEastAsia" w:eastAsiaTheme="minorEastAsia"/>
                <w:bCs/>
                <w:kern w:val="0"/>
                <w:sz w:val="21"/>
                <w:szCs w:val="21"/>
                <w:highlight w:val="none"/>
                <w:lang w:val="en-US" w:eastAsia="zh-CN"/>
              </w:rPr>
            </w:pPr>
            <w:r>
              <w:rPr>
                <w:rFonts w:hint="eastAsia" w:cs="仿宋" w:asciiTheme="minorEastAsia" w:hAnsiTheme="minorEastAsia" w:eastAsiaTheme="minorEastAsia"/>
                <w:bCs/>
                <w:kern w:val="0"/>
                <w:sz w:val="21"/>
                <w:szCs w:val="21"/>
                <w:highlight w:val="none"/>
              </w:rPr>
              <w:t>49</w:t>
            </w:r>
            <w:r>
              <w:rPr>
                <w:rFonts w:hint="eastAsia" w:cs="仿宋" w:asciiTheme="minorEastAsia" w:hAnsiTheme="minorEastAsia" w:eastAsiaTheme="minorEastAsia"/>
                <w:bCs/>
                <w:kern w:val="0"/>
                <w:sz w:val="21"/>
                <w:szCs w:val="21"/>
                <w:highlight w:val="none"/>
                <w:lang w:val="en-US" w:eastAsia="zh-CN"/>
              </w:rPr>
              <w:t>59</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313" w:type="dxa"/>
            <w:gridSpan w:val="2"/>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其中：任选课程</w:t>
            </w:r>
          </w:p>
        </w:tc>
        <w:tc>
          <w:tcPr>
            <w:tcW w:w="1656" w:type="dxa"/>
            <w:shd w:val="clear" w:color="auto" w:fill="auto"/>
            <w:vAlign w:val="center"/>
          </w:tcPr>
          <w:p>
            <w:pPr>
              <w:widowControl/>
              <w:jc w:val="center"/>
              <w:rPr>
                <w:rFonts w:hint="default" w:cs="仿宋" w:asciiTheme="minorEastAsia" w:hAnsiTheme="minorEastAsia" w:eastAsiaTheme="minorEastAsia"/>
                <w:bCs/>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635</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ascii="宋体" w:hAnsi="宋体" w:eastAsia="宋体" w:cs="宋体"/>
                <w:color w:val="000000"/>
                <w:kern w:val="0"/>
                <w:sz w:val="21"/>
                <w:szCs w:val="21"/>
                <w:highlight w:val="none"/>
                <w:lang w:val="en-US" w:eastAsia="zh-CN" w:bidi="ar"/>
              </w:rPr>
              <w:t>12.81</w:t>
            </w:r>
            <w:r>
              <w:rPr>
                <w:rFonts w:hint="eastAsia" w:ascii="宋体" w:hAnsi="宋体" w:eastAsia="宋体" w:cs="宋体"/>
                <w:color w:val="000000"/>
                <w:kern w:val="0"/>
                <w:sz w:val="21"/>
                <w:szCs w:val="21"/>
                <w:highlight w:val="none"/>
                <w:lang w:bidi="ar"/>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不低于</w:t>
            </w:r>
            <w:r>
              <w:rPr>
                <w:rFonts w:cs="仿宋" w:asciiTheme="minorEastAsia" w:hAnsiTheme="minorEastAsia" w:eastAsiaTheme="minorEastAsia"/>
                <w:bCs/>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313" w:type="dxa"/>
            <w:gridSpan w:val="2"/>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其中：实践性教学</w:t>
            </w:r>
          </w:p>
        </w:tc>
        <w:tc>
          <w:tcPr>
            <w:tcW w:w="1656" w:type="dxa"/>
            <w:shd w:val="clear" w:color="auto" w:fill="auto"/>
            <w:vAlign w:val="center"/>
          </w:tcPr>
          <w:p>
            <w:pPr>
              <w:widowControl/>
              <w:jc w:val="center"/>
              <w:rPr>
                <w:rFonts w:hint="default" w:cs="仿宋" w:asciiTheme="minorEastAsia" w:hAnsiTheme="minorEastAsia" w:eastAsiaTheme="minorEastAsia"/>
                <w:bCs/>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2580</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ascii="宋体" w:hAnsi="宋体" w:eastAsia="宋体" w:cs="宋体"/>
                <w:color w:val="000000"/>
                <w:kern w:val="0"/>
                <w:sz w:val="21"/>
                <w:szCs w:val="21"/>
                <w:highlight w:val="none"/>
                <w:lang w:val="en-US" w:eastAsia="zh-CN" w:bidi="ar"/>
              </w:rPr>
              <w:t>52.03</w:t>
            </w:r>
            <w:r>
              <w:rPr>
                <w:rFonts w:hint="eastAsia" w:ascii="宋体" w:hAnsi="宋体" w:eastAsia="宋体" w:cs="宋体"/>
                <w:color w:val="000000"/>
                <w:kern w:val="0"/>
                <w:sz w:val="21"/>
                <w:szCs w:val="21"/>
                <w:highlight w:val="none"/>
                <w:lang w:bidi="ar"/>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highlight w:val="none"/>
              </w:rPr>
            </w:pPr>
            <w:r>
              <w:rPr>
                <w:rFonts w:hint="eastAsia" w:cs="仿宋" w:asciiTheme="minorEastAsia" w:hAnsiTheme="minorEastAsia" w:eastAsiaTheme="minorEastAsia"/>
                <w:bCs/>
                <w:kern w:val="0"/>
                <w:sz w:val="21"/>
                <w:szCs w:val="21"/>
                <w:highlight w:val="none"/>
              </w:rPr>
              <w:t>不低于</w:t>
            </w:r>
            <w:r>
              <w:rPr>
                <w:rFonts w:cs="仿宋" w:asciiTheme="minorEastAsia" w:hAnsiTheme="minorEastAsia" w:eastAsiaTheme="minorEastAsia"/>
                <w:bCs/>
                <w:kern w:val="0"/>
                <w:sz w:val="21"/>
                <w:szCs w:val="21"/>
                <w:highlight w:val="none"/>
              </w:rPr>
              <w:t>50%</w:t>
            </w:r>
          </w:p>
        </w:tc>
      </w:tr>
    </w:tbl>
    <w:p>
      <w:pPr>
        <w:widowControl/>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说明：实践性教学学时包括采用理实一体化形式进行教学的实践学时和集中实践形式进行教学的实践学时。</w:t>
      </w:r>
    </w:p>
    <w:p>
      <w:pPr>
        <w:pStyle w:val="4"/>
        <w:ind w:firstLine="0" w:firstLineChars="0"/>
        <w:rPr>
          <w:highlight w:val="none"/>
        </w:rPr>
      </w:pPr>
    </w:p>
    <w:p>
      <w:pPr>
        <w:pStyle w:val="2"/>
        <w:spacing w:before="120" w:after="120" w:line="500" w:lineRule="exact"/>
        <w:ind w:firstLine="560"/>
        <w:rPr>
          <w:b w:val="0"/>
          <w:bCs w:val="0"/>
          <w:sz w:val="28"/>
          <w:szCs w:val="28"/>
          <w:highlight w:val="none"/>
        </w:rPr>
      </w:pPr>
      <w:bookmarkStart w:id="45" w:name="_Toc4806"/>
      <w:bookmarkStart w:id="46" w:name="_Toc10482"/>
      <w:bookmarkStart w:id="47" w:name="_Toc32257"/>
      <w:bookmarkStart w:id="48" w:name="_Toc31006"/>
      <w:r>
        <w:rPr>
          <w:rFonts w:hint="eastAsia"/>
          <w:b w:val="0"/>
          <w:bCs w:val="0"/>
          <w:sz w:val="28"/>
          <w:szCs w:val="28"/>
          <w:highlight w:val="none"/>
        </w:rPr>
        <w:t>九、教学基本条件</w:t>
      </w:r>
      <w:bookmarkEnd w:id="45"/>
      <w:bookmarkEnd w:id="46"/>
      <w:bookmarkEnd w:id="47"/>
      <w:bookmarkEnd w:id="48"/>
    </w:p>
    <w:p>
      <w:pPr>
        <w:pStyle w:val="3"/>
        <w:widowControl/>
        <w:spacing w:line="500" w:lineRule="exact"/>
        <w:ind w:firstLine="562"/>
        <w:rPr>
          <w:rFonts w:ascii="仿宋" w:hAnsi="仿宋" w:eastAsia="仿宋"/>
          <w:bCs/>
          <w:szCs w:val="28"/>
          <w:highlight w:val="none"/>
        </w:rPr>
      </w:pPr>
      <w:bookmarkStart w:id="49" w:name="_Toc8916"/>
      <w:bookmarkStart w:id="50" w:name="_Toc15598"/>
      <w:bookmarkStart w:id="51" w:name="_Toc559"/>
      <w:bookmarkStart w:id="52" w:name="_Toc6692"/>
      <w:r>
        <w:rPr>
          <w:rFonts w:hint="eastAsia" w:ascii="仿宋" w:hAnsi="仿宋" w:eastAsia="仿宋"/>
          <w:bCs/>
          <w:szCs w:val="28"/>
          <w:highlight w:val="none"/>
        </w:rPr>
        <w:t>（一）师资队伍</w:t>
      </w:r>
      <w:bookmarkEnd w:id="49"/>
      <w:bookmarkEnd w:id="50"/>
    </w:p>
    <w:p>
      <w:pPr>
        <w:spacing w:line="500" w:lineRule="exact"/>
        <w:ind w:firstLine="560" w:firstLineChars="200"/>
        <w:rPr>
          <w:highlight w:val="none"/>
        </w:rPr>
      </w:pPr>
      <w:r>
        <w:rPr>
          <w:rFonts w:hint="eastAsia" w:ascii="仿宋" w:hAnsi="仿宋" w:eastAsia="仿宋"/>
          <w:sz w:val="28"/>
          <w:szCs w:val="28"/>
          <w:highlight w:val="none"/>
        </w:rPr>
        <w:t>按照“四有好老师”“四个相统一”“四个引路人”的要求建设专业教师队伍，将师德师风作为教师队伍建设的第一标准</w:t>
      </w:r>
      <w:r>
        <w:rPr>
          <w:rFonts w:ascii="仿宋" w:hAnsi="仿宋" w:eastAsia="仿宋"/>
          <w:sz w:val="28"/>
          <w:szCs w:val="28"/>
          <w:highlight w:val="none"/>
        </w:rPr>
        <w:t>。</w:t>
      </w:r>
    </w:p>
    <w:p>
      <w:pPr>
        <w:widowControl/>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队伍结构</w:t>
      </w:r>
    </w:p>
    <w:p>
      <w:pPr>
        <w:widowControl/>
        <w:spacing w:line="500" w:lineRule="exact"/>
        <w:ind w:firstLine="560" w:firstLineChars="200"/>
        <w:rPr>
          <w:color w:val="auto"/>
          <w:highlight w:val="none"/>
        </w:rPr>
      </w:pPr>
      <w:r>
        <w:rPr>
          <w:rFonts w:hint="eastAsia" w:ascii="仿宋" w:hAnsi="仿宋" w:eastAsia="仿宋"/>
          <w:color w:val="auto"/>
          <w:sz w:val="28"/>
          <w:szCs w:val="28"/>
          <w:highlight w:val="none"/>
        </w:rPr>
        <w:t>本专业专任专业教师与在籍学生之比为1:</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；研究生学历（或硕士以上学位）达到</w:t>
      </w:r>
      <w:r>
        <w:rPr>
          <w:rFonts w:hint="eastAsia" w:ascii="仿宋" w:hAnsi="仿宋" w:eastAsia="仿宋"/>
          <w:color w:val="auto"/>
          <w:sz w:val="28"/>
          <w:szCs w:val="28"/>
          <w:highlight w:val="none"/>
          <w:lang w:val="en-US" w:eastAsia="zh-CN"/>
        </w:rPr>
        <w:t>67</w:t>
      </w:r>
      <w:r>
        <w:rPr>
          <w:rFonts w:hint="eastAsia" w:ascii="仿宋" w:hAnsi="仿宋" w:eastAsia="仿宋"/>
          <w:color w:val="auto"/>
          <w:sz w:val="28"/>
          <w:szCs w:val="28"/>
          <w:highlight w:val="none"/>
        </w:rPr>
        <w:t>%，高级职称达到</w:t>
      </w:r>
      <w:r>
        <w:rPr>
          <w:rFonts w:hint="eastAsia" w:ascii="仿宋" w:hAnsi="仿宋" w:eastAsia="仿宋"/>
          <w:color w:val="auto"/>
          <w:sz w:val="28"/>
          <w:szCs w:val="28"/>
          <w:highlight w:val="none"/>
          <w:lang w:val="en-US" w:eastAsia="zh-CN"/>
        </w:rPr>
        <w:t>75</w:t>
      </w:r>
      <w:r>
        <w:rPr>
          <w:rFonts w:hint="eastAsia" w:ascii="仿宋" w:hAnsi="仿宋" w:eastAsia="仿宋"/>
          <w:color w:val="auto"/>
          <w:sz w:val="28"/>
          <w:szCs w:val="28"/>
          <w:highlight w:val="none"/>
        </w:rPr>
        <w:t>%；双师素质教师占专业教师比为</w:t>
      </w:r>
      <w:r>
        <w:rPr>
          <w:rFonts w:hint="eastAsia" w:ascii="仿宋" w:hAnsi="仿宋" w:eastAsia="仿宋"/>
          <w:color w:val="auto"/>
          <w:sz w:val="28"/>
          <w:szCs w:val="28"/>
          <w:highlight w:val="none"/>
          <w:lang w:val="en-US" w:eastAsia="zh-CN"/>
        </w:rPr>
        <w:t>92</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高级技师</w:t>
      </w:r>
      <w:r>
        <w:rPr>
          <w:rFonts w:hint="eastAsia" w:ascii="仿宋" w:hAnsi="仿宋" w:eastAsia="仿宋"/>
          <w:color w:val="auto"/>
          <w:sz w:val="28"/>
          <w:szCs w:val="28"/>
          <w:highlight w:val="none"/>
          <w:lang w:val="en-US" w:eastAsia="zh-CN"/>
        </w:rPr>
        <w:t>4人，</w:t>
      </w:r>
      <w:r>
        <w:rPr>
          <w:rFonts w:hint="eastAsia" w:ascii="仿宋" w:hAnsi="仿宋" w:eastAsia="仿宋"/>
          <w:color w:val="auto"/>
          <w:sz w:val="28"/>
          <w:szCs w:val="28"/>
          <w:highlight w:val="none"/>
        </w:rPr>
        <w:t>建设一支专兼结合、结构合理、具有双师素质的教师队伍。</w:t>
      </w:r>
    </w:p>
    <w:p>
      <w:pPr>
        <w:widowControl/>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专任教师</w:t>
      </w:r>
    </w:p>
    <w:p>
      <w:pPr>
        <w:widowControl/>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专任教师有理想信念、有道德情操、有扎实学识、有仁爱之心；均具有教师资格和本专业领域有关证书；具有机械制造及自动化技术等相关专业本科及以上学历；具有本专业理论和实践能力；能够落实课程思政要求，挖掘专业课程中的思政教育元素和资源；能够运用信息技术开展混合式教学等教法改革；能够跟踪机械制造业新经济、新技术发展前沿，开展技术研发与社会服务；专业教师每年至少1个月在企业或实训基地实训，每5年累计不少于6个月的企业实践经历。</w:t>
      </w:r>
    </w:p>
    <w:p>
      <w:pPr>
        <w:widowControl/>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专业带头人</w:t>
      </w:r>
    </w:p>
    <w:p>
      <w:pPr>
        <w:widowControl/>
        <w:spacing w:line="500" w:lineRule="exact"/>
        <w:ind w:firstLine="560" w:firstLineChars="200"/>
        <w:rPr>
          <w:rFonts w:hint="eastAsia" w:ascii="仿宋" w:hAnsi="仿宋" w:eastAsia="仿宋" w:cs="Times New Roman"/>
          <w:kern w:val="2"/>
          <w:sz w:val="28"/>
          <w:szCs w:val="28"/>
          <w:highlight w:val="none"/>
          <w:lang w:val="en-US" w:eastAsia="zh-CN" w:bidi="ar-SA"/>
        </w:rPr>
      </w:pPr>
      <w:r>
        <w:rPr>
          <w:rFonts w:hint="eastAsia" w:ascii="仿宋" w:hAnsi="仿宋" w:eastAsia="仿宋"/>
          <w:sz w:val="28"/>
          <w:szCs w:val="28"/>
          <w:highlight w:val="none"/>
        </w:rPr>
        <w:t>本专业带头人具有本科学历，硕士学位，</w:t>
      </w:r>
      <w:r>
        <w:rPr>
          <w:rFonts w:hint="eastAsia" w:ascii="仿宋" w:hAnsi="仿宋" w:eastAsia="仿宋"/>
          <w:sz w:val="28"/>
          <w:szCs w:val="28"/>
          <w:highlight w:val="none"/>
          <w:lang w:eastAsia="zh-CN"/>
        </w:rPr>
        <w:t>副</w:t>
      </w:r>
      <w:r>
        <w:rPr>
          <w:rFonts w:hint="eastAsia" w:ascii="仿宋" w:hAnsi="仿宋" w:eastAsia="仿宋"/>
          <w:sz w:val="28"/>
          <w:szCs w:val="28"/>
          <w:highlight w:val="none"/>
        </w:rPr>
        <w:t>教授，高级技师，从事本专业教学30年，在省级及以上刊物发表论文</w:t>
      </w:r>
      <w:r>
        <w:rPr>
          <w:rFonts w:hint="eastAsia" w:ascii="仿宋" w:hAnsi="仿宋" w:eastAsia="仿宋"/>
          <w:sz w:val="28"/>
          <w:szCs w:val="28"/>
          <w:highlight w:val="none"/>
          <w:lang w:val="en-US" w:eastAsia="zh-CN"/>
        </w:rPr>
        <w:t>十余篇</w:t>
      </w:r>
      <w:r>
        <w:rPr>
          <w:rFonts w:hint="eastAsia" w:ascii="仿宋" w:hAnsi="仿宋" w:eastAsia="仿宋"/>
          <w:sz w:val="28"/>
          <w:szCs w:val="28"/>
          <w:highlight w:val="none"/>
        </w:rPr>
        <w:t>，主编高职规划教材《数控车削高级工理实一体化教程》</w:t>
      </w:r>
      <w:r>
        <w:rPr>
          <w:rFonts w:hint="eastAsia" w:ascii="仿宋" w:hAnsi="仿宋" w:eastAsia="仿宋"/>
          <w:sz w:val="28"/>
          <w:szCs w:val="28"/>
          <w:highlight w:val="none"/>
          <w:lang w:eastAsia="zh-CN"/>
        </w:rPr>
        <w:t>等教材5本</w:t>
      </w:r>
      <w:r>
        <w:rPr>
          <w:rFonts w:hint="eastAsia" w:ascii="仿宋" w:hAnsi="仿宋" w:eastAsia="仿宋"/>
          <w:sz w:val="28"/>
          <w:szCs w:val="28"/>
          <w:highlight w:val="none"/>
        </w:rPr>
        <w:t>，主持过省部级课题两项、市级课题</w:t>
      </w:r>
      <w:r>
        <w:rPr>
          <w:rFonts w:hint="eastAsia" w:ascii="仿宋" w:hAnsi="仿宋" w:eastAsia="仿宋"/>
          <w:sz w:val="28"/>
          <w:szCs w:val="28"/>
          <w:highlight w:val="none"/>
          <w:lang w:eastAsia="zh-CN"/>
        </w:rPr>
        <w:t>一</w:t>
      </w:r>
      <w:r>
        <w:rPr>
          <w:rFonts w:hint="eastAsia" w:ascii="仿宋" w:hAnsi="仿宋" w:eastAsia="仿宋"/>
          <w:sz w:val="28"/>
          <w:szCs w:val="28"/>
          <w:highlight w:val="none"/>
        </w:rPr>
        <w:t>项</w:t>
      </w:r>
      <w:r>
        <w:rPr>
          <w:rFonts w:hint="eastAsia" w:ascii="仿宋" w:hAnsi="仿宋" w:eastAsia="仿宋"/>
          <w:sz w:val="28"/>
          <w:szCs w:val="28"/>
          <w:highlight w:val="none"/>
          <w:lang w:eastAsia="zh-CN"/>
        </w:rPr>
        <w:t>，主持《数控加工工艺与编程》精品课程建设获无锡市级精品课程。</w:t>
      </w:r>
      <w:r>
        <w:rPr>
          <w:rFonts w:hint="eastAsia" w:ascii="仿宋" w:hAnsi="仿宋" w:eastAsia="仿宋" w:cs="Times New Roman"/>
          <w:kern w:val="2"/>
          <w:sz w:val="28"/>
          <w:szCs w:val="28"/>
          <w:highlight w:val="none"/>
          <w:lang w:val="en-US" w:eastAsia="zh-CN" w:bidi="ar-SA"/>
        </w:rPr>
        <w:t>能够较好地把握国内外数控技术行业、专业发展，能广泛联系行业企业，了解行业企业对数控技术专业人才的需求实际，教学设计、专业研究能力强，组织开展教科研工作能力强，</w:t>
      </w:r>
      <w:r>
        <w:rPr>
          <w:rFonts w:hint="eastAsia" w:ascii="仿宋" w:hAnsi="仿宋" w:eastAsia="仿宋"/>
          <w:sz w:val="28"/>
          <w:szCs w:val="28"/>
          <w:highlight w:val="none"/>
        </w:rPr>
        <w:t>开展教育教学改革、教科研工作和社会服务能力强，在数控技术专业改革发展中起引领作用。</w:t>
      </w:r>
    </w:p>
    <w:p>
      <w:pPr>
        <w:widowControl/>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4.兼职教师</w:t>
      </w:r>
      <w:bookmarkStart w:id="53" w:name="_Toc32763"/>
    </w:p>
    <w:p>
      <w:pPr>
        <w:widowControl/>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兼职教师4名,兼职教师占专兼职教师总数比例为2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%，主要从无锡贝斯特精机股份有限公司、上汽大通汽车有限公司无锡分公司、无锡宏源机电科技股份有限公司等校企合作单位中聘任，兼职教师</w:t>
      </w:r>
    </w:p>
    <w:p>
      <w:pPr>
        <w:widowControl/>
        <w:spacing w:line="500" w:lineRule="exact"/>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具备良好的思想政治素质、职业道德和工匠精神，具有扎实的数控技术专业知识和丰富的实际工作经验，具有数控技术工程师及以上职称，能承担专业课程教学、实习实训指导和学生职业发展规划指导等教学任务,每学年承担120学时以上的教学任务，兼职教师定期参加学校组织的教学研讨。</w:t>
      </w:r>
    </w:p>
    <w:p>
      <w:pPr>
        <w:pStyle w:val="3"/>
        <w:spacing w:line="500" w:lineRule="exact"/>
        <w:ind w:firstLine="562"/>
        <w:rPr>
          <w:rFonts w:ascii="仿宋" w:hAnsi="仿宋" w:eastAsia="仿宋"/>
          <w:bCs/>
          <w:szCs w:val="28"/>
          <w:highlight w:val="none"/>
        </w:rPr>
      </w:pPr>
      <w:bookmarkStart w:id="54" w:name="_Toc23517"/>
      <w:r>
        <w:rPr>
          <w:rFonts w:hint="eastAsia" w:ascii="仿宋" w:hAnsi="仿宋" w:eastAsia="仿宋"/>
          <w:bCs/>
          <w:szCs w:val="28"/>
          <w:highlight w:val="none"/>
        </w:rPr>
        <w:t>（二）教学设施</w:t>
      </w:r>
      <w:bookmarkEnd w:id="53"/>
      <w:bookmarkEnd w:id="54"/>
    </w:p>
    <w:p>
      <w:pPr>
        <w:widowControl/>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主要包括能够满足正常的课程教学、实习实训所需的专业教室、实验室、实训室和实训实习基地。</w:t>
      </w:r>
    </w:p>
    <w:p>
      <w:pPr>
        <w:widowControl/>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 xml:space="preserve"> 专业教室</w:t>
      </w:r>
    </w:p>
    <w:p>
      <w:pPr>
        <w:widowControl/>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具备利用信息化手段开展混合式教学的条件。一般教室均配备黑（白）板、多媒体计算机、投影设备、音响设备，具有互联网接入或无线网络环境及网络安全防护措施。安装应急照明装置并保持良好状态，符合紧急疏散要求，安防标志明显，保持逃生通道畅通无阻。</w:t>
      </w:r>
    </w:p>
    <w:p>
      <w:pPr>
        <w:widowControl/>
        <w:numPr>
          <w:ilvl w:val="0"/>
          <w:numId w:val="2"/>
        </w:numPr>
        <w:spacing w:line="500" w:lineRule="exact"/>
        <w:ind w:firstLine="560" w:firstLineChars="200"/>
        <w:rPr>
          <w:highlight w:val="none"/>
        </w:rPr>
      </w:pPr>
      <w:r>
        <w:rPr>
          <w:rFonts w:hint="eastAsia" w:ascii="仿宋" w:hAnsi="仿宋" w:eastAsia="仿宋"/>
          <w:sz w:val="28"/>
          <w:szCs w:val="28"/>
          <w:highlight w:val="none"/>
        </w:rPr>
        <w:t>校内外实训场所</w:t>
      </w:r>
    </w:p>
    <w:p>
      <w:pPr>
        <w:widowControl/>
        <w:spacing w:line="500" w:lineRule="exact"/>
        <w:ind w:firstLine="560" w:firstLineChars="200"/>
        <w:jc w:val="center"/>
        <w:rPr>
          <w:rFonts w:ascii="Times New Roman" w:hAnsi="Times New Roman" w:eastAsia="楷体" w:cs="楷体"/>
          <w:sz w:val="28"/>
          <w:szCs w:val="28"/>
          <w:highlight w:val="none"/>
        </w:rPr>
      </w:pPr>
      <w:r>
        <w:rPr>
          <w:rFonts w:hint="eastAsia" w:ascii="Times New Roman" w:hAnsi="Times New Roman" w:eastAsia="楷体" w:cs="楷体"/>
          <w:sz w:val="28"/>
          <w:szCs w:val="28"/>
          <w:highlight w:val="none"/>
        </w:rPr>
        <w:t>表：校内外实训场所</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53"/>
        <w:gridCol w:w="2550"/>
        <w:gridCol w:w="283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6"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453"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实训室</w:t>
            </w:r>
          </w:p>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2550"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主要功能</w:t>
            </w:r>
          </w:p>
        </w:tc>
        <w:tc>
          <w:tcPr>
            <w:tcW w:w="4209" w:type="dxa"/>
            <w:gridSpan w:val="2"/>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主要工具和设施设备配置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6" w:type="dxa"/>
            <w:vMerge w:val="continue"/>
            <w:vAlign w:val="center"/>
          </w:tcPr>
          <w:p>
            <w:pPr>
              <w:snapToGrid w:val="0"/>
              <w:jc w:val="center"/>
              <w:rPr>
                <w:rFonts w:ascii="宋体" w:hAnsi="宋体" w:eastAsia="宋体" w:cs="宋体"/>
                <w:b/>
                <w:sz w:val="21"/>
                <w:szCs w:val="21"/>
                <w:highlight w:val="none"/>
              </w:rPr>
            </w:pPr>
          </w:p>
        </w:tc>
        <w:tc>
          <w:tcPr>
            <w:tcW w:w="1453" w:type="dxa"/>
            <w:vMerge w:val="continue"/>
          </w:tcPr>
          <w:p>
            <w:pPr>
              <w:snapToGrid w:val="0"/>
              <w:jc w:val="center"/>
              <w:rPr>
                <w:rFonts w:ascii="宋体" w:hAnsi="宋体" w:eastAsia="宋体" w:cs="宋体"/>
                <w:b/>
                <w:sz w:val="21"/>
                <w:szCs w:val="21"/>
                <w:highlight w:val="none"/>
              </w:rPr>
            </w:pPr>
          </w:p>
        </w:tc>
        <w:tc>
          <w:tcPr>
            <w:tcW w:w="2550" w:type="dxa"/>
            <w:vMerge w:val="continue"/>
          </w:tcPr>
          <w:p>
            <w:pPr>
              <w:snapToGrid w:val="0"/>
              <w:jc w:val="center"/>
              <w:rPr>
                <w:rFonts w:ascii="宋体" w:hAnsi="宋体" w:eastAsia="宋体" w:cs="宋体"/>
                <w:b/>
                <w:sz w:val="21"/>
                <w:szCs w:val="21"/>
                <w:highlight w:val="none"/>
              </w:rPr>
            </w:pPr>
          </w:p>
        </w:tc>
        <w:tc>
          <w:tcPr>
            <w:tcW w:w="2835" w:type="dxa"/>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1374" w:type="dxa"/>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钳工实训室</w:t>
            </w:r>
          </w:p>
        </w:tc>
        <w:tc>
          <w:tcPr>
            <w:tcW w:w="2550"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钳加工设备的操作；常用工具、量具、刀具的使用；钳加工基本技能训练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台虎钳，工作台；钳工工具、常用刀具</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50（台、套）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通用量具</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台式钻床</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摇臂钻床</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砂轮机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平板、方箱</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5（块、只）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机械测绘实训室</w:t>
            </w:r>
          </w:p>
        </w:tc>
        <w:tc>
          <w:tcPr>
            <w:tcW w:w="2550"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通用机电产品结构的认知；零件的测量技术；</w:t>
            </w:r>
          </w:p>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计算机绘图技能训练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减速机实物或模型</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left"/>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计算机及CAD软件</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50台套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6" w:type="dxa"/>
            <w:vMerge w:val="continue"/>
            <w:vAlign w:val="center"/>
          </w:tcPr>
          <w:p>
            <w:pPr>
              <w:widowControl/>
              <w:adjustRightInd w:val="0"/>
              <w:snapToGrid w:val="0"/>
              <w:jc w:val="left"/>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气动综合实训台</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6台</w:t>
            </w:r>
          </w:p>
        </w:tc>
      </w:tr>
    </w:tbl>
    <w:p>
      <w:pPr>
        <w:pStyle w:val="4"/>
        <w:ind w:left="0" w:leftChars="0" w:firstLine="0" w:firstLineChars="0"/>
        <w:rPr>
          <w:rFonts w:hint="default"/>
          <w:highlight w:val="none"/>
          <w:lang w:val="en-US" w:eastAsia="zh-CN"/>
        </w:rPr>
      </w:pPr>
    </w:p>
    <w:p>
      <w:pPr>
        <w:pStyle w:val="4"/>
        <w:ind w:left="0" w:leftChars="0" w:firstLine="0" w:firstLineChars="0"/>
        <w:rPr>
          <w:rFonts w:hint="default"/>
          <w:highlight w:val="none"/>
          <w:lang w:val="en-US" w:eastAsia="zh-CN"/>
        </w:rPr>
      </w:pPr>
    </w:p>
    <w:tbl>
      <w:tblPr>
        <w:tblStyle w:val="1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53"/>
        <w:gridCol w:w="2550"/>
        <w:gridCol w:w="283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453"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实训室</w:t>
            </w:r>
          </w:p>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2550"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主要功能</w:t>
            </w:r>
          </w:p>
        </w:tc>
        <w:tc>
          <w:tcPr>
            <w:tcW w:w="4209" w:type="dxa"/>
            <w:gridSpan w:val="2"/>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主要工具和设施设备配置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pPr>
              <w:snapToGrid w:val="0"/>
              <w:jc w:val="center"/>
              <w:rPr>
                <w:rFonts w:ascii="宋体" w:hAnsi="宋体" w:eastAsia="宋体" w:cs="宋体"/>
                <w:b/>
                <w:sz w:val="21"/>
                <w:szCs w:val="21"/>
                <w:highlight w:val="none"/>
              </w:rPr>
            </w:pPr>
          </w:p>
        </w:tc>
        <w:tc>
          <w:tcPr>
            <w:tcW w:w="1453" w:type="dxa"/>
            <w:vMerge w:val="continue"/>
          </w:tcPr>
          <w:p>
            <w:pPr>
              <w:snapToGrid w:val="0"/>
              <w:jc w:val="center"/>
              <w:rPr>
                <w:rFonts w:ascii="宋体" w:hAnsi="宋体" w:eastAsia="宋体" w:cs="宋体"/>
                <w:b/>
                <w:sz w:val="21"/>
                <w:szCs w:val="21"/>
                <w:highlight w:val="none"/>
              </w:rPr>
            </w:pPr>
          </w:p>
        </w:tc>
        <w:tc>
          <w:tcPr>
            <w:tcW w:w="2550" w:type="dxa"/>
            <w:vMerge w:val="continue"/>
          </w:tcPr>
          <w:p>
            <w:pPr>
              <w:snapToGrid w:val="0"/>
              <w:jc w:val="center"/>
              <w:rPr>
                <w:rFonts w:ascii="宋体" w:hAnsi="宋体" w:eastAsia="宋体" w:cs="宋体"/>
                <w:b/>
                <w:sz w:val="21"/>
                <w:szCs w:val="21"/>
                <w:highlight w:val="none"/>
              </w:rPr>
            </w:pPr>
          </w:p>
        </w:tc>
        <w:tc>
          <w:tcPr>
            <w:tcW w:w="2835" w:type="dxa"/>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1374" w:type="dxa"/>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3</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PLC编程实训室</w:t>
            </w:r>
          </w:p>
        </w:tc>
        <w:tc>
          <w:tcPr>
            <w:tcW w:w="2550"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可编程控制器的认识；</w:t>
            </w:r>
          </w:p>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可编程控制器编程软件应用及编程技术训练，PLC控制系统的电气安装、调试技术训练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可编程控制器实训装置</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各种机床电气控制电路模板</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计算机及软件</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电子技术实训室</w:t>
            </w:r>
          </w:p>
        </w:tc>
        <w:tc>
          <w:tcPr>
            <w:tcW w:w="2550"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电子仪表的使用；焊接技术训练；</w:t>
            </w:r>
          </w:p>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电子产品的制作</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电子实训台，电烙铁、架</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50工位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直流稳压电源、示波器、信号发生器等</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计算机及相关软件</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电工技术实训室</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安全用电技术训练；</w:t>
            </w:r>
          </w:p>
          <w:p>
            <w:pPr>
              <w:jc w:val="center"/>
              <w:rPr>
                <w:rFonts w:ascii="宋体" w:hAnsi="宋体" w:eastAsia="宋体" w:cs="宋体"/>
                <w:sz w:val="21"/>
                <w:szCs w:val="21"/>
                <w:highlight w:val="none"/>
              </w:rPr>
            </w:pPr>
            <w:r>
              <w:rPr>
                <w:rFonts w:hint="eastAsia" w:ascii="宋体" w:hAnsi="宋体" w:eastAsia="宋体" w:cs="宋体"/>
                <w:sz w:val="21"/>
                <w:szCs w:val="21"/>
                <w:highlight w:val="none"/>
              </w:rPr>
              <w:t>常用电工仪表的选用；电工工具的使用；</w:t>
            </w:r>
          </w:p>
          <w:p>
            <w:pPr>
              <w:jc w:val="center"/>
              <w:rPr>
                <w:rFonts w:ascii="宋体" w:hAnsi="宋体" w:eastAsia="宋体" w:cs="宋体"/>
                <w:sz w:val="21"/>
                <w:szCs w:val="21"/>
                <w:highlight w:val="none"/>
              </w:rPr>
            </w:pPr>
            <w:r>
              <w:rPr>
                <w:rFonts w:hint="eastAsia" w:ascii="宋体" w:hAnsi="宋体" w:eastAsia="宋体" w:cs="宋体"/>
                <w:sz w:val="21"/>
                <w:szCs w:val="21"/>
                <w:highlight w:val="none"/>
              </w:rPr>
              <w:t>低压电气的认知；</w:t>
            </w:r>
          </w:p>
          <w:p>
            <w:pPr>
              <w:jc w:val="center"/>
              <w:rPr>
                <w:rFonts w:ascii="宋体" w:hAnsi="宋体" w:eastAsia="宋体" w:cs="宋体"/>
                <w:sz w:val="21"/>
                <w:szCs w:val="21"/>
                <w:highlight w:val="none"/>
              </w:rPr>
            </w:pPr>
            <w:r>
              <w:rPr>
                <w:rFonts w:hint="eastAsia" w:ascii="宋体" w:hAnsi="宋体" w:eastAsia="宋体" w:cs="宋体"/>
                <w:sz w:val="21"/>
                <w:szCs w:val="21"/>
                <w:highlight w:val="none"/>
              </w:rPr>
              <w:t>电气控制线路的安装、调试；</w:t>
            </w:r>
          </w:p>
          <w:p>
            <w:pPr>
              <w:jc w:val="center"/>
              <w:rPr>
                <w:rFonts w:ascii="宋体" w:hAnsi="宋体" w:eastAsia="宋体" w:cs="宋体"/>
                <w:sz w:val="21"/>
                <w:szCs w:val="21"/>
                <w:highlight w:val="none"/>
              </w:rPr>
            </w:pPr>
            <w:r>
              <w:rPr>
                <w:rFonts w:hint="eastAsia" w:ascii="宋体" w:hAnsi="宋体" w:eastAsia="宋体" w:cs="宋体"/>
                <w:sz w:val="21"/>
                <w:szCs w:val="21"/>
                <w:highlight w:val="none"/>
              </w:rPr>
              <w:t>电气控制系统的故障分析；</w:t>
            </w:r>
          </w:p>
          <w:p>
            <w:pPr>
              <w:jc w:val="center"/>
              <w:rPr>
                <w:rFonts w:ascii="宋体" w:hAnsi="宋体" w:eastAsia="宋体" w:cs="宋体"/>
                <w:sz w:val="21"/>
                <w:szCs w:val="21"/>
                <w:highlight w:val="none"/>
              </w:rPr>
            </w:pPr>
            <w:r>
              <w:rPr>
                <w:rFonts w:hint="eastAsia" w:ascii="宋体" w:hAnsi="宋体" w:eastAsia="宋体" w:cs="宋体"/>
                <w:sz w:val="21"/>
                <w:szCs w:val="21"/>
                <w:highlight w:val="none"/>
              </w:rPr>
              <w:t>维修电工技能训练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触电急救模拟人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万用表、转速表、钳形电流表、功率表、兆欧表</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压线钳、组套工具、电锤、喷灯、弯管器</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自动空气开关、断路器、继电器、接触器、主令开关等</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电工操作台、教学网孔板、低压配电柜、照明控制箱、照明灯具、管件、桥架、槽道、电缆、固定卡件</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模拟机床电气排故实训装置</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数控车/铣实训车间</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数控车/铣加工技术训练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数控车床</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数控铣床/加工中心（含四轴1台）</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7</w:t>
            </w: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液压与气动实训室</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液压和气动元件的认知；液压和气动系统的安装、调试、维护及故障排除。</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液压综合实训装置</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气动综合实训装置</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36"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8</w:t>
            </w:r>
          </w:p>
        </w:tc>
        <w:tc>
          <w:tcPr>
            <w:tcW w:w="1453" w:type="dxa"/>
            <w:vAlign w:val="center"/>
          </w:tcPr>
          <w:p>
            <w:pPr>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车工实训车间</w:t>
            </w:r>
          </w:p>
        </w:tc>
        <w:tc>
          <w:tcPr>
            <w:tcW w:w="2550" w:type="dxa"/>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车削加工技术训练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普通车床</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36"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9</w:t>
            </w:r>
          </w:p>
        </w:tc>
        <w:tc>
          <w:tcPr>
            <w:tcW w:w="1453" w:type="dxa"/>
            <w:vMerge w:val="restart"/>
            <w:vAlign w:val="center"/>
          </w:tcPr>
          <w:p>
            <w:pPr>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综合实训车间</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典型机械加工设备的认知；机械加工设备的操作；典型机械零件的加工；</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普通工具铣床</w:t>
            </w:r>
          </w:p>
        </w:tc>
        <w:tc>
          <w:tcPr>
            <w:tcW w:w="1374" w:type="dxa"/>
          </w:tcPr>
          <w:p>
            <w:pPr>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adjustRightInd w:val="0"/>
              <w:snapToGrid w:val="0"/>
              <w:ind w:firstLine="48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钻床</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平面磨床</w:t>
            </w:r>
          </w:p>
        </w:tc>
        <w:tc>
          <w:tcPr>
            <w:tcW w:w="1374" w:type="dxa"/>
          </w:tcPr>
          <w:p>
            <w:pPr>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36" w:type="dxa"/>
            <w:vMerge w:val="restart"/>
            <w:vAlign w:val="center"/>
          </w:tcPr>
          <w:p>
            <w:pPr>
              <w:spacing w:line="360" w:lineRule="exact"/>
              <w:ind w:firstLine="480"/>
              <w:jc w:val="center"/>
              <w:rPr>
                <w:rFonts w:ascii="宋体" w:hAnsi="宋体" w:eastAsia="宋体" w:cs="宋体"/>
                <w:bCs/>
                <w:kern w:val="0"/>
                <w:sz w:val="21"/>
                <w:szCs w:val="21"/>
                <w:highlight w:val="none"/>
              </w:rPr>
            </w:pPr>
          </w:p>
          <w:p>
            <w:pPr>
              <w:spacing w:line="360" w:lineRule="exact"/>
              <w:ind w:firstLine="480"/>
              <w:jc w:val="center"/>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110</w:t>
            </w:r>
          </w:p>
          <w:p>
            <w:pPr>
              <w:spacing w:line="360" w:lineRule="exact"/>
              <w:ind w:firstLine="480"/>
              <w:jc w:val="center"/>
              <w:rPr>
                <w:rFonts w:ascii="宋体" w:hAnsi="宋体" w:eastAsia="宋体" w:cs="宋体"/>
                <w:bCs/>
                <w:kern w:val="0"/>
                <w:sz w:val="21"/>
                <w:szCs w:val="21"/>
                <w:highlight w:val="none"/>
              </w:rPr>
            </w:pPr>
          </w:p>
          <w:p>
            <w:pPr>
              <w:spacing w:line="360" w:lineRule="exact"/>
              <w:ind w:firstLine="480"/>
              <w:jc w:val="center"/>
              <w:rPr>
                <w:rFonts w:ascii="宋体" w:hAnsi="宋体" w:eastAsia="宋体" w:cs="宋体"/>
                <w:bCs/>
                <w:kern w:val="0"/>
                <w:sz w:val="21"/>
                <w:szCs w:val="21"/>
                <w:highlight w:val="none"/>
              </w:rPr>
            </w:pPr>
          </w:p>
        </w:tc>
        <w:tc>
          <w:tcPr>
            <w:tcW w:w="1453"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电机控制与调速控制实训室</w:t>
            </w:r>
          </w:p>
        </w:tc>
        <w:tc>
          <w:tcPr>
            <w:tcW w:w="2550" w:type="dxa"/>
            <w:vMerge w:val="restart"/>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常用电机认知；</w:t>
            </w:r>
          </w:p>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通用变频器的使用；</w:t>
            </w:r>
          </w:p>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电气控制和调速技术训练。</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电机控制及调速综合实训装置</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widowControl/>
              <w:adjustRightInd w:val="0"/>
              <w:snapToGrid w:val="0"/>
              <w:jc w:val="center"/>
              <w:rPr>
                <w:rFonts w:ascii="宋体" w:hAnsi="宋体" w:eastAsia="宋体" w:cs="宋体"/>
                <w:sz w:val="21"/>
                <w:szCs w:val="21"/>
                <w:highlight w:val="none"/>
              </w:rPr>
            </w:pPr>
          </w:p>
        </w:tc>
        <w:tc>
          <w:tcPr>
            <w:tcW w:w="1453" w:type="dxa"/>
            <w:vMerge w:val="continue"/>
            <w:vAlign w:val="center"/>
          </w:tcPr>
          <w:p>
            <w:pPr>
              <w:widowControl/>
              <w:adjustRightInd w:val="0"/>
              <w:snapToGrid w:val="0"/>
              <w:jc w:val="center"/>
              <w:rPr>
                <w:rFonts w:ascii="宋体" w:hAnsi="宋体" w:eastAsia="宋体" w:cs="宋体"/>
                <w:sz w:val="21"/>
                <w:szCs w:val="21"/>
                <w:highlight w:val="none"/>
              </w:rPr>
            </w:pPr>
          </w:p>
        </w:tc>
        <w:tc>
          <w:tcPr>
            <w:tcW w:w="2550" w:type="dxa"/>
            <w:vMerge w:val="continue"/>
            <w:vAlign w:val="center"/>
          </w:tcPr>
          <w:p>
            <w:pPr>
              <w:widowControl/>
              <w:adjustRightInd w:val="0"/>
              <w:snapToGrid w:val="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通用变频器</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spacing w:line="360" w:lineRule="exact"/>
              <w:jc w:val="center"/>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11</w:t>
            </w:r>
          </w:p>
        </w:tc>
        <w:tc>
          <w:tcPr>
            <w:tcW w:w="1453" w:type="dxa"/>
            <w:vMerge w:val="restart"/>
            <w:vAlign w:val="center"/>
          </w:tcPr>
          <w:p>
            <w:pPr>
              <w:widowControl/>
              <w:snapToGrid w:val="0"/>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运动控制实训室</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PLC开关量控制；运动控制；过程控制；伺服步进应用</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运动控制实训装置</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spacing w:line="360" w:lineRule="exact"/>
              <w:ind w:firstLine="480"/>
              <w:jc w:val="center"/>
              <w:rPr>
                <w:rFonts w:ascii="宋体" w:hAnsi="宋体" w:eastAsia="宋体" w:cs="宋体"/>
                <w:bCs/>
                <w:kern w:val="0"/>
                <w:sz w:val="21"/>
                <w:szCs w:val="21"/>
                <w:highlight w:val="none"/>
              </w:rPr>
            </w:pPr>
          </w:p>
        </w:tc>
        <w:tc>
          <w:tcPr>
            <w:tcW w:w="1453" w:type="dxa"/>
            <w:vMerge w:val="continue"/>
            <w:vAlign w:val="center"/>
          </w:tcPr>
          <w:p>
            <w:pPr>
              <w:widowControl/>
              <w:snapToGrid w:val="0"/>
              <w:spacing w:line="360" w:lineRule="exact"/>
              <w:ind w:firstLine="480"/>
              <w:jc w:val="center"/>
              <w:rPr>
                <w:rFonts w:ascii="宋体" w:hAnsi="宋体" w:eastAsia="宋体" w:cs="宋体"/>
                <w:sz w:val="21"/>
                <w:szCs w:val="21"/>
                <w:highlight w:val="none"/>
              </w:rPr>
            </w:pPr>
          </w:p>
        </w:tc>
        <w:tc>
          <w:tcPr>
            <w:tcW w:w="2550" w:type="dxa"/>
            <w:vMerge w:val="continue"/>
            <w:vAlign w:val="center"/>
          </w:tcPr>
          <w:p>
            <w:pPr>
              <w:widowControl/>
              <w:snapToGrid w:val="0"/>
              <w:spacing w:line="360" w:lineRule="exact"/>
              <w:ind w:firstLine="480"/>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计算机及相关软件</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20台</w:t>
            </w:r>
          </w:p>
        </w:tc>
      </w:tr>
    </w:tbl>
    <w:p>
      <w:pPr>
        <w:pStyle w:val="4"/>
        <w:ind w:left="0" w:leftChars="0" w:firstLine="0" w:firstLineChars="0"/>
        <w:rPr>
          <w:rFonts w:hint="default"/>
          <w:highlight w:val="none"/>
          <w:lang w:val="en-US" w:eastAsia="zh-CN"/>
        </w:rPr>
      </w:pPr>
    </w:p>
    <w:p>
      <w:pPr>
        <w:pStyle w:val="4"/>
        <w:ind w:left="0" w:leftChars="0" w:firstLine="0" w:firstLineChars="0"/>
        <w:rPr>
          <w:rFonts w:hint="default"/>
          <w:highlight w:val="none"/>
          <w:lang w:val="en-US" w:eastAsia="zh-CN"/>
        </w:rPr>
      </w:pPr>
    </w:p>
    <w:p>
      <w:pPr>
        <w:pStyle w:val="4"/>
        <w:ind w:left="0" w:leftChars="0" w:firstLine="0" w:firstLineChars="0"/>
        <w:rPr>
          <w:rFonts w:hint="default"/>
          <w:highlight w:val="none"/>
          <w:lang w:val="en-US" w:eastAsia="zh-CN"/>
        </w:rPr>
      </w:pPr>
    </w:p>
    <w:tbl>
      <w:tblPr>
        <w:tblStyle w:val="1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53"/>
        <w:gridCol w:w="2550"/>
        <w:gridCol w:w="283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453"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实训室</w:t>
            </w:r>
          </w:p>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2550" w:type="dxa"/>
            <w:vMerge w:val="restart"/>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主要功能</w:t>
            </w:r>
          </w:p>
        </w:tc>
        <w:tc>
          <w:tcPr>
            <w:tcW w:w="4209" w:type="dxa"/>
            <w:gridSpan w:val="2"/>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主要工具和设施设备配置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pPr>
              <w:snapToGrid w:val="0"/>
              <w:jc w:val="center"/>
              <w:rPr>
                <w:rFonts w:ascii="宋体" w:hAnsi="宋体" w:eastAsia="宋体" w:cs="宋体"/>
                <w:b/>
                <w:sz w:val="21"/>
                <w:szCs w:val="21"/>
                <w:highlight w:val="none"/>
              </w:rPr>
            </w:pPr>
          </w:p>
        </w:tc>
        <w:tc>
          <w:tcPr>
            <w:tcW w:w="1453" w:type="dxa"/>
            <w:vMerge w:val="continue"/>
          </w:tcPr>
          <w:p>
            <w:pPr>
              <w:snapToGrid w:val="0"/>
              <w:jc w:val="center"/>
              <w:rPr>
                <w:rFonts w:ascii="宋体" w:hAnsi="宋体" w:eastAsia="宋体" w:cs="宋体"/>
                <w:b/>
                <w:sz w:val="21"/>
                <w:szCs w:val="21"/>
                <w:highlight w:val="none"/>
              </w:rPr>
            </w:pPr>
          </w:p>
        </w:tc>
        <w:tc>
          <w:tcPr>
            <w:tcW w:w="2550" w:type="dxa"/>
            <w:vMerge w:val="continue"/>
          </w:tcPr>
          <w:p>
            <w:pPr>
              <w:snapToGrid w:val="0"/>
              <w:jc w:val="center"/>
              <w:rPr>
                <w:rFonts w:ascii="宋体" w:hAnsi="宋体" w:eastAsia="宋体" w:cs="宋体"/>
                <w:b/>
                <w:sz w:val="21"/>
                <w:szCs w:val="21"/>
                <w:highlight w:val="none"/>
              </w:rPr>
            </w:pPr>
          </w:p>
        </w:tc>
        <w:tc>
          <w:tcPr>
            <w:tcW w:w="2835" w:type="dxa"/>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1374" w:type="dxa"/>
            <w:vAlign w:val="center"/>
          </w:tcPr>
          <w:p>
            <w:pPr>
              <w:snapToGrid w:val="0"/>
              <w:jc w:val="center"/>
              <w:rPr>
                <w:rFonts w:ascii="宋体" w:hAnsi="宋体" w:eastAsia="宋体" w:cs="宋体"/>
                <w:b/>
                <w:sz w:val="21"/>
                <w:szCs w:val="21"/>
                <w:highlight w:val="none"/>
              </w:rPr>
            </w:pPr>
            <w:r>
              <w:rPr>
                <w:rFonts w:hint="eastAsia" w:ascii="宋体" w:hAnsi="宋体" w:eastAsia="宋体" w:cs="宋体"/>
                <w:b/>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Align w:val="center"/>
          </w:tcPr>
          <w:p>
            <w:pPr>
              <w:spacing w:line="360" w:lineRule="exact"/>
              <w:jc w:val="center"/>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12</w:t>
            </w:r>
          </w:p>
        </w:tc>
        <w:tc>
          <w:tcPr>
            <w:tcW w:w="1453" w:type="dxa"/>
            <w:vAlign w:val="center"/>
          </w:tcPr>
          <w:p>
            <w:pPr>
              <w:widowControl/>
              <w:snapToGrid w:val="0"/>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CAD/CAM实训室（数控模拟实训室）</w:t>
            </w:r>
          </w:p>
        </w:tc>
        <w:tc>
          <w:tcPr>
            <w:tcW w:w="2550" w:type="dxa"/>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CAD/CAM等软件应用实训</w:t>
            </w:r>
          </w:p>
        </w:tc>
        <w:tc>
          <w:tcPr>
            <w:tcW w:w="2835" w:type="dxa"/>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配备CAD软件、数控仿真软件、CAM软件；计算机及相关实训用资料。</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45台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spacing w:line="360" w:lineRule="exact"/>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13</w:t>
            </w:r>
          </w:p>
        </w:tc>
        <w:tc>
          <w:tcPr>
            <w:tcW w:w="1453" w:type="dxa"/>
            <w:vMerge w:val="restart"/>
            <w:vAlign w:val="center"/>
          </w:tcPr>
          <w:p>
            <w:pPr>
              <w:widowControl/>
              <w:snapToGrid w:val="0"/>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3D打印实训室</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3D打印一体化实训教学</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3D打印机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spacing w:line="360" w:lineRule="exact"/>
              <w:rPr>
                <w:rFonts w:ascii="宋体" w:hAnsi="宋体" w:eastAsia="宋体" w:cs="宋体"/>
                <w:bCs/>
                <w:kern w:val="0"/>
                <w:sz w:val="21"/>
                <w:szCs w:val="21"/>
                <w:highlight w:val="none"/>
              </w:rPr>
            </w:pPr>
          </w:p>
        </w:tc>
        <w:tc>
          <w:tcPr>
            <w:tcW w:w="1453"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550"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配置3D打印机仿真软件的计算机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spacing w:line="360" w:lineRule="exact"/>
              <w:rPr>
                <w:rFonts w:ascii="宋体" w:hAnsi="宋体" w:eastAsia="宋体" w:cs="宋体"/>
                <w:bCs/>
                <w:kern w:val="0"/>
                <w:sz w:val="21"/>
                <w:szCs w:val="21"/>
                <w:highlight w:val="none"/>
              </w:rPr>
            </w:pPr>
          </w:p>
        </w:tc>
        <w:tc>
          <w:tcPr>
            <w:tcW w:w="1453"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550"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激光内雕机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spacing w:line="360" w:lineRule="exact"/>
              <w:rPr>
                <w:rFonts w:ascii="宋体" w:hAnsi="宋体" w:eastAsia="宋体" w:cs="宋体"/>
                <w:bCs/>
                <w:kern w:val="0"/>
                <w:sz w:val="21"/>
                <w:szCs w:val="21"/>
                <w:highlight w:val="none"/>
              </w:rPr>
            </w:pPr>
          </w:p>
        </w:tc>
        <w:tc>
          <w:tcPr>
            <w:tcW w:w="1453"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550"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三维扫描仪</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restart"/>
            <w:vAlign w:val="center"/>
          </w:tcPr>
          <w:p>
            <w:pPr>
              <w:spacing w:line="360" w:lineRule="exact"/>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14</w:t>
            </w:r>
          </w:p>
        </w:tc>
        <w:tc>
          <w:tcPr>
            <w:tcW w:w="1453" w:type="dxa"/>
            <w:vMerge w:val="restart"/>
            <w:vAlign w:val="center"/>
          </w:tcPr>
          <w:p>
            <w:pPr>
              <w:widowControl/>
              <w:snapToGrid w:val="0"/>
              <w:spacing w:line="36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三坐标测量实训室</w:t>
            </w:r>
          </w:p>
        </w:tc>
        <w:tc>
          <w:tcPr>
            <w:tcW w:w="2550" w:type="dxa"/>
            <w:vMerge w:val="restart"/>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三坐标测量一体化实训教学</w:t>
            </w: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台式三坐标测量机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spacing w:line="360" w:lineRule="exact"/>
              <w:rPr>
                <w:rFonts w:ascii="宋体" w:hAnsi="宋体" w:eastAsia="宋体" w:cs="宋体"/>
                <w:bCs/>
                <w:kern w:val="0"/>
                <w:sz w:val="21"/>
                <w:szCs w:val="21"/>
                <w:highlight w:val="none"/>
              </w:rPr>
            </w:pPr>
          </w:p>
        </w:tc>
        <w:tc>
          <w:tcPr>
            <w:tcW w:w="1453" w:type="dxa"/>
            <w:vMerge w:val="continue"/>
            <w:vAlign w:val="center"/>
          </w:tcPr>
          <w:p>
            <w:pPr>
              <w:widowControl/>
              <w:snapToGrid w:val="0"/>
              <w:spacing w:line="360" w:lineRule="exact"/>
              <w:jc w:val="center"/>
              <w:rPr>
                <w:rFonts w:ascii="宋体" w:hAnsi="宋体" w:eastAsia="宋体" w:cs="宋体"/>
                <w:b/>
                <w:bCs/>
                <w:sz w:val="21"/>
                <w:szCs w:val="21"/>
                <w:highlight w:val="none"/>
              </w:rPr>
            </w:pPr>
          </w:p>
        </w:tc>
        <w:tc>
          <w:tcPr>
            <w:tcW w:w="2550"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便携式三坐标测量机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6" w:type="dxa"/>
            <w:vMerge w:val="continue"/>
            <w:vAlign w:val="center"/>
          </w:tcPr>
          <w:p>
            <w:pPr>
              <w:spacing w:line="360" w:lineRule="exact"/>
              <w:rPr>
                <w:rFonts w:ascii="宋体" w:hAnsi="宋体" w:eastAsia="宋体" w:cs="宋体"/>
                <w:bCs/>
                <w:kern w:val="0"/>
                <w:sz w:val="21"/>
                <w:szCs w:val="21"/>
                <w:highlight w:val="none"/>
              </w:rPr>
            </w:pPr>
          </w:p>
        </w:tc>
        <w:tc>
          <w:tcPr>
            <w:tcW w:w="1453" w:type="dxa"/>
            <w:vMerge w:val="continue"/>
            <w:vAlign w:val="center"/>
          </w:tcPr>
          <w:p>
            <w:pPr>
              <w:widowControl/>
              <w:snapToGrid w:val="0"/>
              <w:spacing w:line="360" w:lineRule="exact"/>
              <w:jc w:val="center"/>
              <w:rPr>
                <w:rFonts w:ascii="宋体" w:hAnsi="宋体" w:eastAsia="宋体" w:cs="宋体"/>
                <w:b/>
                <w:bCs/>
                <w:sz w:val="21"/>
                <w:szCs w:val="21"/>
                <w:highlight w:val="none"/>
              </w:rPr>
            </w:pPr>
          </w:p>
        </w:tc>
        <w:tc>
          <w:tcPr>
            <w:tcW w:w="2550" w:type="dxa"/>
            <w:vMerge w:val="continue"/>
            <w:vAlign w:val="center"/>
          </w:tcPr>
          <w:p>
            <w:pPr>
              <w:widowControl/>
              <w:snapToGrid w:val="0"/>
              <w:spacing w:line="360" w:lineRule="exact"/>
              <w:jc w:val="center"/>
              <w:rPr>
                <w:rFonts w:ascii="宋体" w:hAnsi="宋体" w:eastAsia="宋体" w:cs="宋体"/>
                <w:sz w:val="21"/>
                <w:szCs w:val="21"/>
                <w:highlight w:val="none"/>
              </w:rPr>
            </w:pPr>
          </w:p>
        </w:tc>
        <w:tc>
          <w:tcPr>
            <w:tcW w:w="2835"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配置三坐标测量仿真软件的计算机</w:t>
            </w:r>
          </w:p>
        </w:tc>
        <w:tc>
          <w:tcPr>
            <w:tcW w:w="1374" w:type="dxa"/>
            <w:vAlign w:val="center"/>
          </w:tcPr>
          <w:p>
            <w:pPr>
              <w:widowControl/>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rPr>
              <w:t>20台</w:t>
            </w:r>
          </w:p>
        </w:tc>
      </w:tr>
    </w:tbl>
    <w:p>
      <w:pPr>
        <w:pStyle w:val="4"/>
        <w:ind w:left="0" w:leftChars="0" w:firstLine="0" w:firstLineChars="0"/>
        <w:rPr>
          <w:rFonts w:hint="default"/>
          <w:highlight w:val="none"/>
          <w:lang w:val="en-US" w:eastAsia="zh-CN"/>
        </w:rPr>
      </w:pP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实习场所</w:t>
      </w:r>
    </w:p>
    <w:p>
      <w:pPr>
        <w:spacing w:line="500" w:lineRule="exact"/>
        <w:ind w:firstLine="560" w:firstLineChars="200"/>
        <w:rPr>
          <w:highlight w:val="none"/>
        </w:rPr>
      </w:pPr>
      <w:r>
        <w:rPr>
          <w:rFonts w:hint="eastAsia" w:ascii="仿宋" w:hAnsi="仿宋" w:eastAsia="仿宋"/>
          <w:sz w:val="28"/>
          <w:szCs w:val="28"/>
          <w:highlight w:val="none"/>
        </w:rPr>
        <w:t>本专业具有稳定的校外实训实习基地。遵循长期规划、深度合作、互助互信的原则，经实地考察后，确定合法经营、管理规范，人才培养、选拔体系比较完善的数控设备操作、机械加工工艺编制与实施、数控编程等行业龙头企业为实习基地，可完成数控设备操作、机械加工工艺编制与实施、数控编程等实习活动；配备了相应数量的企业指导教师对学生实习实训进行指导和管理；学校制定了《学生实习管理办法》，有安全、保险保障，学生参加实习前，签署学校、学生、实习单位三方协议。符合《职业学校学生实习管理规定》《职业学校校企合作促进办法》等对实习单位的有关要求。</w:t>
      </w:r>
      <w:bookmarkEnd w:id="51"/>
      <w:bookmarkEnd w:id="52"/>
    </w:p>
    <w:p>
      <w:pPr>
        <w:widowControl/>
        <w:spacing w:line="500" w:lineRule="exact"/>
        <w:ind w:firstLine="560" w:firstLineChars="200"/>
        <w:jc w:val="center"/>
        <w:rPr>
          <w:rFonts w:ascii="Times New Roman" w:hAnsi="Times New Roman" w:eastAsia="楷体" w:cs="楷体"/>
          <w:sz w:val="28"/>
          <w:szCs w:val="28"/>
          <w:highlight w:val="none"/>
        </w:rPr>
      </w:pPr>
      <w:bookmarkStart w:id="55" w:name="_Toc10383"/>
      <w:r>
        <w:rPr>
          <w:rFonts w:hint="eastAsia" w:ascii="Times New Roman" w:hAnsi="Times New Roman" w:eastAsia="楷体" w:cs="楷体"/>
          <w:sz w:val="28"/>
          <w:szCs w:val="28"/>
          <w:highlight w:val="none"/>
        </w:rPr>
        <w:t>表：主要校外实习场所</w:t>
      </w:r>
    </w:p>
    <w:tbl>
      <w:tblPr>
        <w:tblStyle w:val="12"/>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232"/>
        <w:gridCol w:w="2303"/>
        <w:gridCol w:w="1015"/>
        <w:gridCol w:w="168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98"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highlight w:val="none"/>
              </w:rPr>
            </w:pPr>
            <w:r>
              <w:rPr>
                <w:rFonts w:hint="eastAsia" w:asciiTheme="majorEastAsia" w:hAnsiTheme="majorEastAsia" w:eastAsiaTheme="majorEastAsia"/>
                <w:b/>
                <w:bCs/>
                <w:sz w:val="21"/>
                <w:szCs w:val="21"/>
                <w:highlight w:val="none"/>
              </w:rPr>
              <w:t>序号</w:t>
            </w:r>
          </w:p>
        </w:tc>
        <w:tc>
          <w:tcPr>
            <w:tcW w:w="2232"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highlight w:val="none"/>
              </w:rPr>
            </w:pPr>
            <w:r>
              <w:rPr>
                <w:rFonts w:hint="eastAsia" w:asciiTheme="majorEastAsia" w:hAnsiTheme="majorEastAsia" w:eastAsiaTheme="majorEastAsia"/>
                <w:b/>
                <w:bCs/>
                <w:sz w:val="21"/>
                <w:szCs w:val="21"/>
                <w:highlight w:val="none"/>
              </w:rPr>
              <w:t>企业名称</w:t>
            </w:r>
          </w:p>
        </w:tc>
        <w:tc>
          <w:tcPr>
            <w:tcW w:w="2303"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highlight w:val="none"/>
              </w:rPr>
            </w:pPr>
            <w:r>
              <w:rPr>
                <w:rFonts w:hint="eastAsia" w:asciiTheme="majorEastAsia" w:hAnsiTheme="majorEastAsia" w:eastAsiaTheme="majorEastAsia"/>
                <w:b/>
                <w:bCs/>
                <w:sz w:val="21"/>
                <w:szCs w:val="21"/>
                <w:highlight w:val="none"/>
              </w:rPr>
              <w:t>地址</w:t>
            </w:r>
          </w:p>
        </w:tc>
        <w:tc>
          <w:tcPr>
            <w:tcW w:w="1015"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highlight w:val="none"/>
              </w:rPr>
            </w:pPr>
            <w:r>
              <w:rPr>
                <w:rFonts w:hint="eastAsia" w:asciiTheme="majorEastAsia" w:hAnsiTheme="majorEastAsia" w:eastAsiaTheme="majorEastAsia"/>
                <w:b/>
                <w:bCs/>
                <w:sz w:val="21"/>
                <w:szCs w:val="21"/>
                <w:highlight w:val="none"/>
              </w:rPr>
              <w:t>联系人</w:t>
            </w:r>
          </w:p>
        </w:tc>
        <w:tc>
          <w:tcPr>
            <w:tcW w:w="1685"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highlight w:val="none"/>
              </w:rPr>
            </w:pPr>
            <w:r>
              <w:rPr>
                <w:rFonts w:hint="eastAsia" w:asciiTheme="majorEastAsia" w:hAnsiTheme="majorEastAsia" w:eastAsiaTheme="majorEastAsia"/>
                <w:b/>
                <w:bCs/>
                <w:sz w:val="21"/>
                <w:szCs w:val="21"/>
                <w:highlight w:val="none"/>
              </w:rPr>
              <w:t>合作形式</w:t>
            </w:r>
          </w:p>
        </w:tc>
        <w:tc>
          <w:tcPr>
            <w:tcW w:w="1248"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highlight w:val="none"/>
              </w:rPr>
            </w:pPr>
            <w:r>
              <w:rPr>
                <w:rFonts w:hint="eastAsia" w:asciiTheme="majorEastAsia" w:hAnsiTheme="majorEastAsia" w:eastAsiaTheme="majorEastAsia"/>
                <w:b/>
                <w:bCs/>
                <w:sz w:val="21"/>
                <w:szCs w:val="21"/>
                <w:highlight w:val="none"/>
              </w:rPr>
              <w:t>主要岗位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b/>
                <w:bCs/>
                <w:sz w:val="21"/>
                <w:szCs w:val="21"/>
                <w:highlight w:val="none"/>
              </w:rPr>
            </w:pPr>
            <w:r>
              <w:rPr>
                <w:rFonts w:hint="eastAsia" w:ascii="宋体" w:hAnsi="宋体" w:eastAsia="宋体" w:cs="宋体"/>
                <w:sz w:val="20"/>
                <w:highlight w:val="none"/>
              </w:rPr>
              <w:t>无锡贝斯特精机股份有限公司</w:t>
            </w:r>
          </w:p>
        </w:tc>
        <w:tc>
          <w:tcPr>
            <w:tcW w:w="2303"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无锡市滨湖区胡埭镇陆藕东路186号</w:t>
            </w:r>
          </w:p>
        </w:tc>
        <w:tc>
          <w:tcPr>
            <w:tcW w:w="1015" w:type="dxa"/>
            <w:shd w:val="clear" w:color="auto" w:fill="auto"/>
            <w:vAlign w:val="center"/>
          </w:tcPr>
          <w:p>
            <w:pPr>
              <w:overflowPunct w:val="0"/>
              <w:jc w:val="center"/>
              <w:rPr>
                <w:rFonts w:ascii="宋体" w:hAnsi="宋体" w:eastAsia="宋体" w:cs="宋体"/>
                <w:sz w:val="20"/>
                <w:highlight w:val="none"/>
              </w:rPr>
            </w:pPr>
            <w:r>
              <w:rPr>
                <w:rFonts w:hint="eastAsia" w:ascii="宋体" w:hAnsi="宋体" w:eastAsia="宋体" w:cs="宋体"/>
                <w:sz w:val="20"/>
                <w:highlight w:val="none"/>
              </w:rPr>
              <w:t>何亮亮</w:t>
            </w:r>
          </w:p>
        </w:tc>
        <w:tc>
          <w:tcPr>
            <w:tcW w:w="1685" w:type="dxa"/>
            <w:shd w:val="clear" w:color="auto" w:fill="auto"/>
            <w:vAlign w:val="center"/>
          </w:tcPr>
          <w:p>
            <w:pPr>
              <w:overflowPunct w:val="0"/>
              <w:rPr>
                <w:rFonts w:ascii="宋体" w:hAnsi="宋体" w:eastAsia="宋体" w:cs="宋体"/>
                <w:sz w:val="20"/>
                <w:highlight w:val="none"/>
              </w:rPr>
            </w:pPr>
            <w:r>
              <w:rPr>
                <w:rFonts w:hint="eastAsia" w:ascii="宋体" w:hAnsi="宋体" w:eastAsia="宋体" w:cs="宋体"/>
                <w:sz w:val="20"/>
                <w:highlight w:val="none"/>
              </w:rPr>
              <w:t>工学交替，顶岗实习，技术服务</w:t>
            </w:r>
          </w:p>
        </w:tc>
        <w:tc>
          <w:tcPr>
            <w:tcW w:w="1248" w:type="dxa"/>
            <w:shd w:val="clear" w:color="auto" w:fill="auto"/>
            <w:vAlign w:val="center"/>
          </w:tcPr>
          <w:p>
            <w:pPr>
              <w:overflowPunct w:val="0"/>
              <w:rPr>
                <w:rFonts w:ascii="宋体" w:hAnsi="宋体" w:eastAsia="宋体" w:cs="宋体"/>
                <w:sz w:val="20"/>
                <w:highlight w:val="none"/>
              </w:rPr>
            </w:pPr>
            <w:r>
              <w:rPr>
                <w:rFonts w:hint="eastAsia" w:ascii="宋体" w:hAnsi="宋体" w:eastAsia="宋体" w:cs="宋体"/>
                <w:sz w:val="20"/>
                <w:highlight w:val="none"/>
              </w:rPr>
              <w:t>数控加工、模具制造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0"/>
                <w:highlight w:val="none"/>
              </w:rPr>
              <w:t>上汽大通汽车有限公司无锡分公司</w:t>
            </w:r>
          </w:p>
        </w:tc>
        <w:tc>
          <w:tcPr>
            <w:tcW w:w="2303"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无锡惠山经济开发区金惠路199号</w:t>
            </w:r>
          </w:p>
        </w:tc>
        <w:tc>
          <w:tcPr>
            <w:tcW w:w="1015" w:type="dxa"/>
            <w:shd w:val="clear" w:color="auto" w:fill="auto"/>
            <w:vAlign w:val="center"/>
          </w:tcPr>
          <w:p>
            <w:pPr>
              <w:overflowPunct w:val="0"/>
              <w:jc w:val="center"/>
              <w:rPr>
                <w:rFonts w:ascii="宋体" w:hAnsi="宋体" w:eastAsia="宋体" w:cs="宋体"/>
                <w:sz w:val="20"/>
                <w:highlight w:val="none"/>
              </w:rPr>
            </w:pPr>
            <w:r>
              <w:rPr>
                <w:rFonts w:hint="eastAsia" w:ascii="宋体" w:hAnsi="宋体" w:eastAsia="宋体" w:cs="宋体"/>
                <w:sz w:val="20"/>
                <w:highlight w:val="none"/>
              </w:rPr>
              <w:t>孙志科</w:t>
            </w:r>
          </w:p>
        </w:tc>
        <w:tc>
          <w:tcPr>
            <w:tcW w:w="1685" w:type="dxa"/>
            <w:shd w:val="clear" w:color="auto" w:fill="auto"/>
            <w:vAlign w:val="center"/>
          </w:tcPr>
          <w:p>
            <w:pPr>
              <w:overflowPunct w:val="0"/>
              <w:rPr>
                <w:rFonts w:ascii="宋体" w:hAnsi="宋体" w:eastAsia="宋体" w:cs="宋体"/>
                <w:sz w:val="20"/>
                <w:highlight w:val="none"/>
              </w:rPr>
            </w:pPr>
            <w:r>
              <w:rPr>
                <w:rFonts w:hint="eastAsia" w:ascii="宋体" w:hAnsi="宋体" w:eastAsia="宋体" w:cs="宋体"/>
                <w:sz w:val="20"/>
                <w:highlight w:val="none"/>
              </w:rPr>
              <w:t>工学交替，顶岗实习，技术服务</w:t>
            </w:r>
          </w:p>
        </w:tc>
        <w:tc>
          <w:tcPr>
            <w:tcW w:w="1248" w:type="dxa"/>
            <w:shd w:val="clear" w:color="auto" w:fill="auto"/>
            <w:vAlign w:val="center"/>
          </w:tcPr>
          <w:p>
            <w:pPr>
              <w:overflowPunct w:val="0"/>
              <w:rPr>
                <w:rFonts w:ascii="宋体" w:hAnsi="宋体" w:eastAsia="宋体" w:cs="宋体"/>
                <w:sz w:val="20"/>
                <w:highlight w:val="none"/>
              </w:rPr>
            </w:pPr>
            <w:r>
              <w:rPr>
                <w:rFonts w:hint="eastAsia" w:ascii="宋体" w:hAnsi="宋体" w:eastAsia="宋体" w:cs="宋体"/>
                <w:sz w:val="20"/>
                <w:highlight w:val="none"/>
              </w:rPr>
              <w:t>机械制造、模具修理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1"/>
                <w:szCs w:val="21"/>
                <w:highlight w:val="none"/>
              </w:rPr>
              <w:t>3</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0"/>
                <w:highlight w:val="none"/>
              </w:rPr>
              <w:t>无锡宏源机电科技股份有限公司</w:t>
            </w:r>
          </w:p>
        </w:tc>
        <w:tc>
          <w:tcPr>
            <w:tcW w:w="2303" w:type="dxa"/>
            <w:shd w:val="clear" w:color="auto" w:fill="auto"/>
            <w:vAlign w:val="center"/>
          </w:tcPr>
          <w:p>
            <w:pPr>
              <w:overflowPunct w:val="0"/>
              <w:rPr>
                <w:rFonts w:ascii="宋体" w:hAnsi="宋体" w:eastAsia="宋体" w:cs="宋体"/>
                <w:sz w:val="20"/>
                <w:highlight w:val="none"/>
              </w:rPr>
            </w:pPr>
            <w:r>
              <w:rPr>
                <w:rFonts w:hint="eastAsia" w:ascii="宋体" w:hAnsi="宋体" w:eastAsia="宋体" w:cs="宋体"/>
                <w:sz w:val="20"/>
                <w:highlight w:val="none"/>
              </w:rPr>
              <w:t>无锡锡山大道529</w:t>
            </w:r>
          </w:p>
        </w:tc>
        <w:tc>
          <w:tcPr>
            <w:tcW w:w="1015" w:type="dxa"/>
            <w:shd w:val="clear" w:color="auto" w:fill="auto"/>
            <w:vAlign w:val="center"/>
          </w:tcPr>
          <w:p>
            <w:pPr>
              <w:overflowPunct w:val="0"/>
              <w:jc w:val="center"/>
              <w:rPr>
                <w:rFonts w:ascii="宋体" w:hAnsi="宋体" w:eastAsia="宋体" w:cs="宋体"/>
                <w:sz w:val="20"/>
                <w:highlight w:val="none"/>
              </w:rPr>
            </w:pPr>
            <w:r>
              <w:rPr>
                <w:rFonts w:hint="eastAsia" w:ascii="宋体" w:hAnsi="宋体" w:eastAsia="宋体" w:cs="宋体"/>
                <w:sz w:val="20"/>
                <w:highlight w:val="none"/>
              </w:rPr>
              <w:t>薛晓东</w:t>
            </w:r>
          </w:p>
        </w:tc>
        <w:tc>
          <w:tcPr>
            <w:tcW w:w="1685"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工学交替，顶岗实习，技术服务</w:t>
            </w:r>
          </w:p>
        </w:tc>
        <w:tc>
          <w:tcPr>
            <w:tcW w:w="1248"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数控加工、机械制造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1"/>
                <w:szCs w:val="21"/>
                <w:highlight w:val="none"/>
              </w:rPr>
              <w:t>4</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highlight w:val="none"/>
              </w:rPr>
            </w:pPr>
            <w:r>
              <w:rPr>
                <w:rFonts w:hint="eastAsia" w:ascii="宋体" w:hAnsi="宋体" w:eastAsia="宋体" w:cs="宋体"/>
                <w:sz w:val="20"/>
                <w:highlight w:val="none"/>
              </w:rPr>
              <w:t>江森自控空调冷冻设备（无锡）有限公司</w:t>
            </w:r>
          </w:p>
        </w:tc>
        <w:tc>
          <w:tcPr>
            <w:tcW w:w="2303"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无锡市长江路32号</w:t>
            </w:r>
          </w:p>
        </w:tc>
        <w:tc>
          <w:tcPr>
            <w:tcW w:w="1015" w:type="dxa"/>
            <w:shd w:val="clear" w:color="auto" w:fill="auto"/>
            <w:vAlign w:val="center"/>
          </w:tcPr>
          <w:p>
            <w:pPr>
              <w:overflowPunct w:val="0"/>
              <w:jc w:val="center"/>
              <w:rPr>
                <w:rFonts w:ascii="宋体" w:hAnsi="宋体" w:eastAsia="宋体" w:cs="宋体"/>
                <w:sz w:val="21"/>
                <w:szCs w:val="21"/>
                <w:highlight w:val="none"/>
              </w:rPr>
            </w:pPr>
            <w:r>
              <w:rPr>
                <w:rFonts w:hint="eastAsia" w:ascii="宋体" w:hAnsi="宋体" w:eastAsia="宋体" w:cs="宋体"/>
                <w:sz w:val="20"/>
                <w:highlight w:val="none"/>
              </w:rPr>
              <w:t>何育宇</w:t>
            </w:r>
          </w:p>
        </w:tc>
        <w:tc>
          <w:tcPr>
            <w:tcW w:w="1685"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工学交替，顶岗实习</w:t>
            </w:r>
          </w:p>
        </w:tc>
        <w:tc>
          <w:tcPr>
            <w:tcW w:w="1248" w:type="dxa"/>
            <w:shd w:val="clear" w:color="auto" w:fill="auto"/>
            <w:vAlign w:val="center"/>
          </w:tcPr>
          <w:p>
            <w:pPr>
              <w:overflowPunct w:val="0"/>
              <w:rPr>
                <w:rFonts w:ascii="宋体" w:hAnsi="宋体" w:eastAsia="宋体" w:cs="宋体"/>
                <w:sz w:val="21"/>
                <w:szCs w:val="21"/>
                <w:highlight w:val="none"/>
              </w:rPr>
            </w:pPr>
            <w:r>
              <w:rPr>
                <w:rFonts w:hint="eastAsia" w:ascii="宋体" w:hAnsi="宋体" w:eastAsia="宋体" w:cs="宋体"/>
                <w:sz w:val="20"/>
                <w:highlight w:val="none"/>
              </w:rPr>
              <w:t>数控加工</w:t>
            </w:r>
          </w:p>
        </w:tc>
      </w:tr>
    </w:tbl>
    <w:p>
      <w:pPr>
        <w:pStyle w:val="3"/>
        <w:spacing w:line="500" w:lineRule="exact"/>
        <w:ind w:left="0" w:leftChars="0" w:firstLine="0" w:firstLineChars="0"/>
        <w:rPr>
          <w:rFonts w:ascii="仿宋" w:hAnsi="仿宋" w:eastAsia="仿宋"/>
          <w:bCs/>
          <w:szCs w:val="28"/>
          <w:highlight w:val="none"/>
        </w:rPr>
      </w:pPr>
      <w:bookmarkStart w:id="56" w:name="_Toc13402"/>
      <w:r>
        <w:rPr>
          <w:rFonts w:hint="eastAsia" w:ascii="仿宋" w:hAnsi="仿宋" w:eastAsia="仿宋"/>
          <w:bCs/>
          <w:szCs w:val="28"/>
          <w:highlight w:val="none"/>
        </w:rPr>
        <w:t>（三）教学资源</w:t>
      </w:r>
      <w:bookmarkEnd w:id="55"/>
      <w:bookmarkEnd w:id="56"/>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主要包括能够满足学生专业学习、教师专业教学研究和教学实施需要的教材、图书及数字化资源等。</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教材选用</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依据国家、省、学院关于教材的相关管理规定，学校制定了《学校教材管理办法》等制度。通过教研室—二级学院—教材管理工作领导小组—学校党委，层层检查、审核、审定教材，杜绝不合格的教材进入课堂。学校经过规范程序，通过江苏联院教材管理系统择优选用学院出版的院规教材或推荐教材。</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图书文献配备</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图书文献配备能满足数控技术专业人才培养、专业建设、教科研等工作的需要。专业类图书文献主要包括通用设备制造、专用设备制造行业等。及时配置新经济、新技术、新工艺、新材料、新管理方式、新服务方式等相关的图书文献。</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数字教学资源配置</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学校图书馆有专业电子期刊达5746种。学校电子图书总量达136万册。订有论文检测“万方检测——博硕士论文版”、电子期刊“中国知网”、电子图书“读秀学术搜索”三个中文数据库。学校引进社会资源打造“校园书店”，为师生提供一个集阅读、学习、休闲、生活为一体的文化综合体。校园书店为师生提供图书免费借阅服务，定期开展各类阅读分享、专家讲座、团队研讨、文化沙龙等活动，满足师生学习阅读需要，提升校园人文素养，为师生课余文化生活提供了丰富的平台。</w:t>
      </w:r>
    </w:p>
    <w:p>
      <w:pPr>
        <w:spacing w:line="500" w:lineRule="exact"/>
        <w:ind w:firstLine="560" w:firstLineChars="200"/>
        <w:rPr>
          <w:highlight w:val="none"/>
        </w:rPr>
      </w:pPr>
      <w:r>
        <w:rPr>
          <w:rFonts w:hint="eastAsia" w:ascii="仿宋" w:hAnsi="仿宋" w:eastAsia="仿宋"/>
          <w:sz w:val="28"/>
          <w:szCs w:val="28"/>
          <w:highlight w:val="none"/>
        </w:rPr>
        <w:t>建设、配备与数控技术专业有关的音视频素材、教学课件、数字化教学案例库、虚拟仿真软件、数字教材等专业教学资源库，种类丰富、形式多样、使用便捷、动态更新、满足日常教学。目前已建立《机电一体化概论》、《CAD／CA</w:t>
      </w:r>
      <w:r>
        <w:rPr>
          <w:rFonts w:hint="eastAsia" w:ascii="仿宋" w:hAnsi="仿宋" w:eastAsia="仿宋"/>
          <w:sz w:val="28"/>
          <w:szCs w:val="28"/>
          <w:highlight w:val="none"/>
          <w:lang w:val="en-US" w:eastAsia="zh-CN"/>
        </w:rPr>
        <w:t>M</w:t>
      </w:r>
      <w:r>
        <w:rPr>
          <w:rFonts w:hint="eastAsia" w:ascii="仿宋" w:hAnsi="仿宋" w:eastAsia="仿宋"/>
          <w:sz w:val="28"/>
          <w:szCs w:val="28"/>
          <w:highlight w:val="none"/>
        </w:rPr>
        <w:t>软件应用技术》等多门在线开放课程，内含教案、教学课件、微课视频等资源，其中</w:t>
      </w:r>
      <w:r>
        <w:rPr>
          <w:rFonts w:hint="eastAsia" w:ascii="仿宋" w:hAnsi="仿宋" w:eastAsia="仿宋"/>
          <w:sz w:val="28"/>
          <w:szCs w:val="28"/>
          <w:highlight w:val="none"/>
          <w:lang w:eastAsia="zh-CN"/>
        </w:rPr>
        <w:t>《数控加工工艺与编程》、</w:t>
      </w:r>
      <w:r>
        <w:rPr>
          <w:rFonts w:hint="eastAsia" w:ascii="仿宋" w:hAnsi="仿宋" w:eastAsia="仿宋"/>
          <w:sz w:val="28"/>
          <w:szCs w:val="28"/>
          <w:highlight w:val="none"/>
        </w:rPr>
        <w:t>《机械CAD》</w:t>
      </w:r>
      <w:r>
        <w:rPr>
          <w:rFonts w:hint="eastAsia" w:ascii="仿宋" w:hAnsi="仿宋" w:eastAsia="仿宋"/>
          <w:sz w:val="28"/>
          <w:szCs w:val="28"/>
          <w:highlight w:val="none"/>
          <w:lang w:eastAsia="zh-CN"/>
        </w:rPr>
        <w:t>等</w:t>
      </w:r>
      <w:r>
        <w:rPr>
          <w:rFonts w:hint="eastAsia" w:ascii="仿宋" w:hAnsi="仿宋" w:eastAsia="仿宋"/>
          <w:sz w:val="28"/>
          <w:szCs w:val="28"/>
          <w:highlight w:val="none"/>
        </w:rPr>
        <w:t>课程</w:t>
      </w:r>
      <w:r>
        <w:rPr>
          <w:rFonts w:hint="eastAsia" w:ascii="仿宋" w:hAnsi="仿宋" w:eastAsia="仿宋"/>
          <w:sz w:val="28"/>
          <w:szCs w:val="28"/>
          <w:highlight w:val="none"/>
          <w:lang w:eastAsia="zh-CN"/>
        </w:rPr>
        <w:t>被</w:t>
      </w:r>
      <w:r>
        <w:rPr>
          <w:rFonts w:hint="eastAsia" w:ascii="仿宋" w:hAnsi="仿宋" w:eastAsia="仿宋"/>
          <w:sz w:val="28"/>
          <w:szCs w:val="28"/>
          <w:highlight w:val="none"/>
        </w:rPr>
        <w:t>入选无锡市精品课程。</w:t>
      </w:r>
    </w:p>
    <w:p>
      <w:pPr>
        <w:pStyle w:val="2"/>
        <w:spacing w:before="120" w:after="120" w:line="500" w:lineRule="exact"/>
        <w:ind w:firstLine="560"/>
        <w:rPr>
          <w:b w:val="0"/>
          <w:bCs w:val="0"/>
          <w:sz w:val="28"/>
          <w:szCs w:val="28"/>
          <w:highlight w:val="none"/>
        </w:rPr>
      </w:pPr>
      <w:bookmarkStart w:id="57" w:name="_Toc12962"/>
      <w:bookmarkStart w:id="58" w:name="_Toc19819"/>
      <w:bookmarkStart w:id="59" w:name="_Toc19976"/>
      <w:bookmarkStart w:id="60" w:name="_Toc29110"/>
      <w:r>
        <w:rPr>
          <w:rFonts w:hint="eastAsia"/>
          <w:b w:val="0"/>
          <w:bCs w:val="0"/>
          <w:sz w:val="28"/>
          <w:szCs w:val="28"/>
          <w:highlight w:val="none"/>
        </w:rPr>
        <w:t>十、质量保障</w:t>
      </w:r>
      <w:bookmarkEnd w:id="57"/>
      <w:bookmarkEnd w:id="58"/>
      <w:bookmarkEnd w:id="59"/>
      <w:bookmarkEnd w:id="60"/>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依据学校《专业设置与动态调整实施办法》，加强专业调研及专业论证，制订并滚动修订专业实施性人才培养方案。</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2.依据学校《课程管理制度》，制订并滚动修订课程标准，积极引进企业优质资源，与企业合作开设课程、共建课程资源。</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3.依据学校《教学工作评价制度》《教学督导工作实施细则》等文件，建立了学校质量管理、质量监督制度体系，为学校的教学质量管理提供了完善的制度保障。</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4.依据学校《各级领导干部听课管理的规定》，加强日常教学的运行与管理，建立健全巡课、听课、评教、评学等制度，严明教学纪律，强化教学组织功能，保持优良的教育教学秩序。</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5.学校作为联院数控技术专业建设指导委员会的委员单位，积极参加专指委的各类专业建设和教学研究活动。</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依据学校《教研活动管理办法》《集体备课实施办法（试行）》，建立集中教研制度，定期召开教学研讨会议，定期开设公开课、示范课并集中评课，通过集中研讨、评价分析等有效提升教师教学能力，持续提高人才培养质量。</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7.依据学校《全面推进“三全育人”工作的实施方案》《学生综合素质评价体系》等制度，对学生五年全周期、德智体美劳全要素进行纵向与横向评价，引导学生积极主动发展，促进五年制高职学生个性化成长和多样化成才。</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8.依据学校《毕业生就业跟踪管理制度》，建立毕业生跟踪反馈机制及社会评价机制，并对生源情况、在校生学业水平、毕业生就业情况等进行分析，定期评价人才培养质量和培养目标达成情况。</w:t>
      </w:r>
    </w:p>
    <w:p>
      <w:pPr>
        <w:pStyle w:val="4"/>
        <w:ind w:left="0" w:leftChars="0" w:firstLine="0" w:firstLineChars="0"/>
        <w:rPr>
          <w:rFonts w:hint="eastAsia" w:ascii="仿宋" w:hAnsi="仿宋" w:eastAsia="仿宋"/>
          <w:sz w:val="28"/>
          <w:szCs w:val="28"/>
          <w:highlight w:val="none"/>
        </w:rPr>
      </w:pPr>
    </w:p>
    <w:p>
      <w:pPr>
        <w:pStyle w:val="2"/>
        <w:spacing w:before="120" w:after="120" w:line="500" w:lineRule="exact"/>
        <w:ind w:firstLine="560"/>
        <w:rPr>
          <w:b w:val="0"/>
          <w:bCs w:val="0"/>
          <w:sz w:val="28"/>
          <w:szCs w:val="28"/>
          <w:highlight w:val="none"/>
        </w:rPr>
      </w:pPr>
      <w:bookmarkStart w:id="61" w:name="_Toc25202"/>
      <w:bookmarkStart w:id="62" w:name="_Toc9981"/>
      <w:bookmarkStart w:id="63" w:name="_Toc20724"/>
      <w:bookmarkStart w:id="64" w:name="_Toc28955"/>
      <w:r>
        <w:rPr>
          <w:rFonts w:hint="eastAsia"/>
          <w:b w:val="0"/>
          <w:bCs w:val="0"/>
          <w:sz w:val="28"/>
          <w:szCs w:val="28"/>
          <w:highlight w:val="none"/>
        </w:rPr>
        <w:t>十一、毕业要求</w:t>
      </w:r>
      <w:bookmarkEnd w:id="61"/>
      <w:bookmarkEnd w:id="62"/>
      <w:bookmarkEnd w:id="63"/>
      <w:bookmarkEnd w:id="64"/>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学生学习期满，经考核、评价，符合下列要求的，予以毕业：</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综合素质毕业评价等级达到合格及以上。</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完成本方案所制定的各教学环节活动，各门课程及毕业设计成绩考核合格。</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3</w:t>
      </w:r>
      <w:r>
        <w:rPr>
          <w:rFonts w:ascii="仿宋" w:hAnsi="仿宋" w:eastAsia="仿宋"/>
          <w:sz w:val="28"/>
          <w:szCs w:val="28"/>
          <w:highlight w:val="none"/>
        </w:rPr>
        <w:t>.</w:t>
      </w:r>
      <w:r>
        <w:rPr>
          <w:rFonts w:hint="eastAsia" w:ascii="仿宋" w:hAnsi="仿宋" w:eastAsia="仿宋"/>
          <w:sz w:val="28"/>
          <w:szCs w:val="28"/>
        </w:rPr>
        <w:t>取得技能等级认定机构颁发的</w:t>
      </w:r>
      <w:r>
        <w:rPr>
          <w:rFonts w:hint="eastAsia" w:ascii="仿宋" w:hAnsi="仿宋" w:eastAsia="仿宋"/>
          <w:sz w:val="28"/>
          <w:szCs w:val="28"/>
          <w:highlight w:val="none"/>
        </w:rPr>
        <w:t>车削技术（数控车工）</w:t>
      </w:r>
      <w:r>
        <w:rPr>
          <w:rFonts w:hint="eastAsia" w:ascii="仿宋" w:hAnsi="仿宋" w:eastAsia="仿宋"/>
          <w:sz w:val="28"/>
          <w:szCs w:val="28"/>
        </w:rPr>
        <w:t>四级职业技能等级证书或相对应的</w:t>
      </w:r>
      <w:r>
        <w:rPr>
          <w:rFonts w:hint="eastAsia" w:ascii="仿宋" w:hAnsi="仿宋" w:eastAsia="仿宋"/>
          <w:sz w:val="28"/>
          <w:szCs w:val="28"/>
          <w:lang w:val="en-US" w:eastAsia="zh-CN"/>
        </w:rPr>
        <w:t>8.5</w:t>
      </w:r>
      <w:r>
        <w:rPr>
          <w:rFonts w:hint="eastAsia" w:ascii="仿宋" w:hAnsi="仿宋" w:eastAsia="仿宋"/>
          <w:sz w:val="28"/>
          <w:szCs w:val="28"/>
        </w:rPr>
        <w:t>学分。</w:t>
      </w:r>
      <w:bookmarkStart w:id="74" w:name="_GoBack"/>
      <w:bookmarkEnd w:id="74"/>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修满本方案所规定的</w:t>
      </w:r>
      <w:r>
        <w:rPr>
          <w:rFonts w:hint="eastAsia" w:ascii="仿宋" w:hAnsi="仿宋" w:eastAsia="仿宋"/>
          <w:sz w:val="28"/>
          <w:szCs w:val="28"/>
          <w:highlight w:val="none"/>
          <w:lang w:val="en-US" w:eastAsia="zh-CN"/>
        </w:rPr>
        <w:t>272</w:t>
      </w:r>
      <w:r>
        <w:rPr>
          <w:rFonts w:hint="eastAsia" w:ascii="仿宋" w:hAnsi="仿宋" w:eastAsia="仿宋"/>
          <w:sz w:val="28"/>
          <w:szCs w:val="28"/>
          <w:highlight w:val="none"/>
        </w:rPr>
        <w:t>学分。</w:t>
      </w:r>
    </w:p>
    <w:p>
      <w:pPr>
        <w:pStyle w:val="2"/>
        <w:spacing w:before="120" w:after="120" w:line="500" w:lineRule="exact"/>
        <w:ind w:firstLine="560"/>
        <w:rPr>
          <w:b w:val="0"/>
          <w:bCs w:val="0"/>
          <w:sz w:val="28"/>
          <w:szCs w:val="28"/>
          <w:highlight w:val="none"/>
        </w:rPr>
      </w:pPr>
      <w:bookmarkStart w:id="65" w:name="_Toc5633"/>
      <w:bookmarkStart w:id="66" w:name="_Toc26800"/>
      <w:r>
        <w:rPr>
          <w:rFonts w:hint="eastAsia"/>
          <w:b w:val="0"/>
          <w:bCs w:val="0"/>
          <w:sz w:val="28"/>
          <w:szCs w:val="28"/>
          <w:highlight w:val="none"/>
        </w:rPr>
        <w:t>十二、其他事项</w:t>
      </w:r>
      <w:bookmarkEnd w:id="65"/>
      <w:bookmarkEnd w:id="66"/>
    </w:p>
    <w:p>
      <w:pPr>
        <w:pStyle w:val="3"/>
        <w:spacing w:line="500" w:lineRule="exact"/>
        <w:ind w:firstLine="562"/>
        <w:rPr>
          <w:rFonts w:ascii="仿宋" w:hAnsi="仿宋" w:eastAsia="仿宋"/>
          <w:bCs/>
          <w:szCs w:val="28"/>
          <w:highlight w:val="none"/>
        </w:rPr>
      </w:pPr>
      <w:bookmarkStart w:id="67" w:name="_Toc6455"/>
      <w:bookmarkStart w:id="68" w:name="_Toc3093"/>
      <w:r>
        <w:rPr>
          <w:rFonts w:hint="eastAsia" w:ascii="仿宋" w:hAnsi="仿宋" w:eastAsia="仿宋"/>
          <w:bCs/>
          <w:szCs w:val="28"/>
          <w:highlight w:val="none"/>
        </w:rPr>
        <w:t>（一）编制依据</w:t>
      </w:r>
      <w:bookmarkEnd w:id="67"/>
      <w:bookmarkEnd w:id="68"/>
      <w:r>
        <w:rPr>
          <w:rFonts w:hint="eastAsia" w:ascii="仿宋" w:hAnsi="仿宋" w:eastAsia="仿宋"/>
          <w:bCs/>
          <w:szCs w:val="28"/>
          <w:highlight w:val="none"/>
        </w:rPr>
        <w:t xml:space="preserve"> </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《教育部关于职业院校专业人才培养方案制订与实施工作的指导意见》（教职成〔</w:t>
      </w:r>
      <w:r>
        <w:rPr>
          <w:rFonts w:ascii="仿宋" w:hAnsi="仿宋" w:eastAsia="仿宋"/>
          <w:sz w:val="28"/>
          <w:szCs w:val="28"/>
          <w:highlight w:val="none"/>
        </w:rPr>
        <w:t>2019</w:t>
      </w:r>
      <w:r>
        <w:rPr>
          <w:rFonts w:hint="eastAsia" w:ascii="仿宋" w:hAnsi="仿宋" w:eastAsia="仿宋"/>
          <w:sz w:val="28"/>
          <w:szCs w:val="28"/>
          <w:highlight w:val="none"/>
        </w:rPr>
        <w:t>〕</w:t>
      </w:r>
      <w:r>
        <w:rPr>
          <w:rFonts w:ascii="仿宋" w:hAnsi="仿宋" w:eastAsia="仿宋"/>
          <w:sz w:val="28"/>
          <w:szCs w:val="28"/>
          <w:highlight w:val="none"/>
        </w:rPr>
        <w:t>13</w:t>
      </w:r>
      <w:r>
        <w:rPr>
          <w:rFonts w:hint="eastAsia" w:ascii="仿宋" w:hAnsi="仿宋" w:eastAsia="仿宋"/>
          <w:sz w:val="28"/>
          <w:szCs w:val="28"/>
          <w:highlight w:val="none"/>
        </w:rPr>
        <w:t>号）；</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《教育部职业教育与成人教育司关于组织做好职业院校专业人才培养方案制订与实施工作的通知》（教职成司函〔</w:t>
      </w:r>
      <w:r>
        <w:rPr>
          <w:rFonts w:ascii="仿宋" w:hAnsi="仿宋" w:eastAsia="仿宋"/>
          <w:sz w:val="28"/>
          <w:szCs w:val="28"/>
          <w:highlight w:val="none"/>
        </w:rPr>
        <w:t>2019</w:t>
      </w:r>
      <w:r>
        <w:rPr>
          <w:rFonts w:hint="eastAsia" w:ascii="仿宋" w:hAnsi="仿宋" w:eastAsia="仿宋"/>
          <w:sz w:val="28"/>
          <w:szCs w:val="28"/>
          <w:highlight w:val="none"/>
        </w:rPr>
        <w:t>〕</w:t>
      </w:r>
      <w:r>
        <w:rPr>
          <w:rFonts w:ascii="仿宋" w:hAnsi="仿宋" w:eastAsia="仿宋"/>
          <w:sz w:val="28"/>
          <w:szCs w:val="28"/>
          <w:highlight w:val="none"/>
        </w:rPr>
        <w:t>61</w:t>
      </w:r>
      <w:r>
        <w:rPr>
          <w:rFonts w:hint="eastAsia" w:ascii="仿宋" w:hAnsi="仿宋" w:eastAsia="仿宋"/>
          <w:sz w:val="28"/>
          <w:szCs w:val="28"/>
          <w:highlight w:val="none"/>
        </w:rPr>
        <w:t>号）；</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bookmarkStart w:id="69" w:name="_Hlk140247373"/>
      <w:r>
        <w:rPr>
          <w:rFonts w:hint="eastAsia" w:ascii="仿宋" w:hAnsi="仿宋" w:eastAsia="仿宋"/>
          <w:sz w:val="28"/>
          <w:szCs w:val="28"/>
          <w:highlight w:val="none"/>
        </w:rPr>
        <w:t>高等职业教育专科</w:t>
      </w:r>
      <w:bookmarkEnd w:id="69"/>
      <w:r>
        <w:rPr>
          <w:rFonts w:hint="eastAsia" w:ascii="仿宋" w:hAnsi="仿宋" w:eastAsia="仿宋"/>
          <w:sz w:val="28"/>
          <w:szCs w:val="28"/>
          <w:highlight w:val="none"/>
        </w:rPr>
        <w:t>数控技术专业简介》；</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《高等职业教育专科数控技术专业教学标准》；</w:t>
      </w:r>
    </w:p>
    <w:p>
      <w:pPr>
        <w:spacing w:line="500" w:lineRule="exact"/>
        <w:ind w:firstLine="560" w:firstLineChars="200"/>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《关于深入推进五年制高职人才培养方案制（修）订工作的通知》（苏联院教〔2023〕32号）。</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6.《江苏联合职业技术学院五年制高等职业教育数控技术专业指导性人才培养方案（2023版）》</w:t>
      </w:r>
    </w:p>
    <w:p>
      <w:pPr>
        <w:pStyle w:val="3"/>
        <w:spacing w:line="500" w:lineRule="exact"/>
        <w:ind w:firstLine="562"/>
        <w:rPr>
          <w:rFonts w:ascii="仿宋" w:hAnsi="仿宋" w:eastAsia="仿宋"/>
          <w:bCs/>
          <w:szCs w:val="28"/>
          <w:highlight w:val="none"/>
        </w:rPr>
      </w:pPr>
      <w:bookmarkStart w:id="70" w:name="_Toc5248"/>
      <w:bookmarkStart w:id="71" w:name="_Toc300"/>
      <w:r>
        <w:rPr>
          <w:rFonts w:hint="eastAsia" w:ascii="仿宋" w:hAnsi="仿宋" w:eastAsia="仿宋"/>
          <w:bCs/>
          <w:szCs w:val="28"/>
          <w:highlight w:val="none"/>
        </w:rPr>
        <w:t>（二）</w:t>
      </w:r>
      <w:bookmarkEnd w:id="70"/>
      <w:r>
        <w:rPr>
          <w:rFonts w:hint="eastAsia" w:ascii="仿宋" w:hAnsi="仿宋" w:eastAsia="仿宋"/>
          <w:bCs/>
          <w:szCs w:val="28"/>
          <w:highlight w:val="none"/>
        </w:rPr>
        <w:t>执行说明</w:t>
      </w:r>
      <w:bookmarkEnd w:id="71"/>
    </w:p>
    <w:p>
      <w:pPr>
        <w:spacing w:line="500" w:lineRule="exact"/>
        <w:ind w:firstLine="560" w:firstLineChars="200"/>
        <w:rPr>
          <w:rFonts w:ascii="仿宋" w:hAnsi="仿宋" w:eastAsia="仿宋"/>
          <w:sz w:val="28"/>
          <w:szCs w:val="28"/>
          <w:highlight w:val="none"/>
        </w:rPr>
      </w:pPr>
      <w:bookmarkStart w:id="72" w:name="_Toc29396"/>
      <w:r>
        <w:rPr>
          <w:rFonts w:hint="eastAsia" w:ascii="仿宋" w:hAnsi="仿宋" w:eastAsia="仿宋"/>
          <w:sz w:val="28"/>
          <w:szCs w:val="28"/>
          <w:highlight w:val="none"/>
        </w:rPr>
        <w:t>1．规范实施“4.5+0.5”人才培养模式，每学期周数按 20 周计算,其中教学周为 18 周，考试周为 1 周、机动 1 周。入学教育和军训安排在第一学期开设。</w:t>
      </w:r>
    </w:p>
    <w:p>
      <w:pPr>
        <w:spacing w:line="500" w:lineRule="exact"/>
        <w:ind w:firstLine="560" w:firstLineChars="200"/>
        <w:rPr>
          <w:rFonts w:hint="eastAsia"/>
        </w:rPr>
      </w:pPr>
      <w:r>
        <w:rPr>
          <w:rFonts w:hint="eastAsia" w:ascii="仿宋" w:hAnsi="仿宋" w:eastAsia="仿宋"/>
          <w:sz w:val="28"/>
          <w:szCs w:val="28"/>
          <w:highlight w:val="none"/>
        </w:rPr>
        <w:t>2.理论教学和实践教学按 17学时计 1 学分（小数点后数字四舍五入）。专业技能实训课程学时按当学期理论周课时乘以实训周数计算得到，军训、入学教育、社会实践、毕业论文、岗位实习等，1 周计 30 个学时、1 个学分。学生取得行业企业认可度高的有关职业技能等级证书或已掌握有关技术技能、经培训和社会化考核取得其他技能等级证书、参加技能大赛、创新创业大赛等，根据《学校学分制管理办法》等规定可折算为一定学分。</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kern w:val="2"/>
          <w:sz w:val="28"/>
          <w:szCs w:val="28"/>
          <w:highlight w:val="yellow"/>
          <w:lang w:val="en-US" w:eastAsia="zh-CN" w:bidi="ar-SA"/>
        </w:rPr>
      </w:pPr>
      <w:r>
        <w:rPr>
          <w:rFonts w:hint="eastAsia" w:ascii="仿宋" w:hAnsi="仿宋" w:eastAsia="仿宋" w:cs="Times New Roman"/>
          <w:kern w:val="2"/>
          <w:sz w:val="28"/>
          <w:szCs w:val="28"/>
          <w:highlight w:val="none"/>
          <w:lang w:val="en-US" w:eastAsia="zh-CN" w:bidi="ar-SA"/>
        </w:rPr>
        <w:t>3.</w:t>
      </w:r>
      <w:r>
        <w:rPr>
          <w:rFonts w:hint="eastAsia" w:ascii="仿宋" w:hAnsi="仿宋" w:eastAsia="仿宋" w:cs="Times New Roman"/>
          <w:color w:val="auto"/>
          <w:kern w:val="2"/>
          <w:sz w:val="28"/>
          <w:szCs w:val="28"/>
          <w:highlight w:val="none"/>
          <w:lang w:val="en-US" w:eastAsia="zh-CN" w:bidi="ar-SA"/>
        </w:rPr>
        <w:t>《中国特色社会主义》常规课堂教学30学时，另6学时由自由活动课或技能训练周补足；《心理健康与职业生涯》常规课堂教学30学时，另6学时由自由活动课或技能训练周补足；《哲学与人生》常规课堂教学30学时，另6学时由自由活动课或技能训练周补足；《职业道德与法治》常规课堂教学28学时，另8学时由自由活动课或技能训练周补足。《信息技术》常规课堂教学120学时，另8学时由自由活动课或技能训练周补足；《艺术（美术和音乐）》常规课堂教学30学时，另6学时由自由活动课或技能训练周补足。专业平台课程《液压与气压传动》由原来的专业实训课程改为理实一体化教学课程。</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坚持立德树人根本任务，全面加强思政课程建设，整体推进课程思政，充分发掘各类课程的思想政治教育资源，发挥所有课程育人功能。通过课程、讲座、专题活动、校园文化布置等方式增强思政文化氛围、强化思政教育。</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.加强和改进美育工作，以音乐、美术课程为主体开展美育教育，积极开展艺术实践活动，艺术教育必修内容安排 2 个学分，美术和音乐各</w:t>
      </w:r>
      <w:r>
        <w:rPr>
          <w:rFonts w:ascii="仿宋" w:hAnsi="仿宋" w:eastAsia="仿宋"/>
          <w:sz w:val="28"/>
          <w:szCs w:val="28"/>
          <w:highlight w:val="none"/>
        </w:rPr>
        <w:t>1</w:t>
      </w:r>
      <w:r>
        <w:rPr>
          <w:rFonts w:hint="eastAsia" w:ascii="仿宋" w:hAnsi="仿宋" w:eastAsia="仿宋"/>
          <w:sz w:val="28"/>
          <w:szCs w:val="28"/>
          <w:highlight w:val="none"/>
        </w:rPr>
        <w:t>个。</w:t>
      </w:r>
    </w:p>
    <w:p>
      <w:pPr>
        <w:spacing w:line="500" w:lineRule="exact"/>
        <w:ind w:firstLine="560" w:firstLineChars="200"/>
        <w:rPr>
          <w:rFonts w:hint="eastAsia" w:ascii="仿宋" w:hAnsi="仿宋" w:eastAsia="仿宋" w:cs="Times New Roman"/>
          <w:kern w:val="2"/>
          <w:sz w:val="28"/>
          <w:szCs w:val="28"/>
          <w:highlight w:val="none"/>
          <w:lang w:val="en-US" w:eastAsia="zh-CN" w:bidi="ar-SA"/>
        </w:rPr>
      </w:pPr>
      <w:r>
        <w:rPr>
          <w:rFonts w:hint="eastAsia" w:ascii="仿宋" w:hAnsi="仿宋" w:eastAsia="仿宋"/>
          <w:sz w:val="28"/>
          <w:szCs w:val="28"/>
          <w:highlight w:val="none"/>
        </w:rPr>
        <w:t>6.根据教育部要求，</w:t>
      </w:r>
      <w:r>
        <w:rPr>
          <w:rFonts w:hint="eastAsia" w:ascii="仿宋" w:hAnsi="仿宋" w:eastAsia="仿宋" w:cs="Times New Roman"/>
          <w:kern w:val="2"/>
          <w:sz w:val="28"/>
          <w:szCs w:val="28"/>
          <w:highlight w:val="none"/>
          <w:lang w:val="en-US" w:eastAsia="zh-CN" w:bidi="ar-SA"/>
        </w:rPr>
        <w:t>将劳动教育、创新创业教育等融入专业课程教学和有关实践教学环节中，在劳动实践周中开设劳动精神、劳模精神和工匠精神专题教育不少于16 学时。</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7.岗位实习是学生在校学习的重要组成部分，是培养学生综合职业能力的主要教学环节之一。岗位实习教学计划由分院与企业根据生产岗位对从业人员素养的要求共同制订，教学活动主要由企业组织实施，分院参与教学管理和评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8.依据《毕业设计（论文）管理办法（修订）》，制定毕业论文课题范围和指导要求，配备指导老师，严格加强学术道德规范。</w:t>
      </w:r>
    </w:p>
    <w:p>
      <w:pPr>
        <w:pStyle w:val="4"/>
        <w:rPr>
          <w:highlight w:val="none"/>
        </w:rPr>
      </w:pPr>
    </w:p>
    <w:p>
      <w:pPr>
        <w:pStyle w:val="3"/>
        <w:numPr>
          <w:ilvl w:val="0"/>
          <w:numId w:val="3"/>
        </w:numPr>
        <w:spacing w:line="500" w:lineRule="exact"/>
        <w:ind w:firstLine="562"/>
        <w:rPr>
          <w:rFonts w:hint="eastAsia" w:ascii="仿宋" w:hAnsi="仿宋" w:eastAsia="仿宋"/>
          <w:bCs/>
          <w:szCs w:val="28"/>
          <w:highlight w:val="none"/>
        </w:rPr>
      </w:pPr>
      <w:bookmarkStart w:id="73" w:name="_Toc19208"/>
      <w:r>
        <w:rPr>
          <w:rFonts w:hint="eastAsia" w:ascii="仿宋" w:hAnsi="仿宋" w:eastAsia="仿宋"/>
          <w:bCs/>
          <w:szCs w:val="28"/>
          <w:highlight w:val="none"/>
        </w:rPr>
        <w:t>研制团队</w:t>
      </w:r>
      <w:bookmarkEnd w:id="72"/>
      <w:bookmarkEnd w:id="73"/>
    </w:p>
    <w:p>
      <w:pPr>
        <w:numPr>
          <w:ilvl w:val="0"/>
          <w:numId w:val="0"/>
        </w:numPr>
        <w:rPr>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185"/>
        <w:gridCol w:w="2323"/>
        <w:gridCol w:w="2226"/>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spacing w:line="320" w:lineRule="exact"/>
              <w:jc w:val="center"/>
              <w:rPr>
                <w:rFonts w:ascii="宋体" w:hAnsi="宋体" w:eastAsia="宋体"/>
                <w:b/>
                <w:color w:val="000000"/>
                <w:sz w:val="21"/>
                <w:szCs w:val="21"/>
                <w:highlight w:val="none"/>
              </w:rPr>
            </w:pPr>
            <w:r>
              <w:rPr>
                <w:rFonts w:hint="eastAsia" w:ascii="宋体" w:hAnsi="宋体" w:eastAsia="宋体"/>
                <w:b/>
                <w:color w:val="000000"/>
                <w:sz w:val="21"/>
                <w:szCs w:val="21"/>
                <w:highlight w:val="none"/>
              </w:rPr>
              <w:t>序号</w:t>
            </w:r>
          </w:p>
        </w:tc>
        <w:tc>
          <w:tcPr>
            <w:tcW w:w="1185" w:type="dxa"/>
            <w:shd w:val="clear" w:color="auto" w:fill="auto"/>
            <w:vAlign w:val="center"/>
          </w:tcPr>
          <w:p>
            <w:pPr>
              <w:spacing w:line="320" w:lineRule="exact"/>
              <w:jc w:val="center"/>
              <w:rPr>
                <w:rFonts w:ascii="宋体" w:hAnsi="宋体" w:eastAsia="宋体"/>
                <w:b/>
                <w:color w:val="000000"/>
                <w:sz w:val="21"/>
                <w:szCs w:val="21"/>
                <w:highlight w:val="none"/>
              </w:rPr>
            </w:pPr>
            <w:r>
              <w:rPr>
                <w:rFonts w:hint="eastAsia" w:ascii="宋体" w:hAnsi="宋体" w:eastAsia="宋体"/>
                <w:b/>
                <w:color w:val="000000"/>
                <w:sz w:val="21"/>
                <w:szCs w:val="21"/>
                <w:highlight w:val="none"/>
              </w:rPr>
              <w:t>姓名</w:t>
            </w:r>
          </w:p>
        </w:tc>
        <w:tc>
          <w:tcPr>
            <w:tcW w:w="2323" w:type="dxa"/>
            <w:shd w:val="clear" w:color="auto" w:fill="auto"/>
            <w:vAlign w:val="center"/>
          </w:tcPr>
          <w:p>
            <w:pPr>
              <w:spacing w:line="320" w:lineRule="exact"/>
              <w:jc w:val="center"/>
              <w:rPr>
                <w:rFonts w:ascii="宋体" w:hAnsi="宋体" w:eastAsia="宋体"/>
                <w:b/>
                <w:color w:val="000000"/>
                <w:sz w:val="21"/>
                <w:szCs w:val="21"/>
                <w:highlight w:val="none"/>
              </w:rPr>
            </w:pPr>
            <w:r>
              <w:rPr>
                <w:rFonts w:hint="eastAsia" w:ascii="宋体" w:hAnsi="宋体" w:eastAsia="宋体"/>
                <w:b/>
                <w:color w:val="000000"/>
                <w:sz w:val="21"/>
                <w:szCs w:val="21"/>
                <w:highlight w:val="none"/>
              </w:rPr>
              <w:t>单位名称</w:t>
            </w:r>
          </w:p>
        </w:tc>
        <w:tc>
          <w:tcPr>
            <w:tcW w:w="2226" w:type="dxa"/>
            <w:shd w:val="clear" w:color="auto" w:fill="auto"/>
            <w:vAlign w:val="center"/>
          </w:tcPr>
          <w:p>
            <w:pPr>
              <w:spacing w:line="320" w:lineRule="exact"/>
              <w:jc w:val="center"/>
              <w:rPr>
                <w:rFonts w:ascii="宋体" w:hAnsi="宋体" w:eastAsia="宋体"/>
                <w:b/>
                <w:color w:val="000000"/>
                <w:sz w:val="21"/>
                <w:szCs w:val="21"/>
                <w:highlight w:val="none"/>
              </w:rPr>
            </w:pPr>
            <w:r>
              <w:rPr>
                <w:rFonts w:hint="eastAsia" w:ascii="宋体" w:hAnsi="宋体" w:eastAsia="宋体"/>
                <w:b/>
                <w:color w:val="000000"/>
                <w:sz w:val="21"/>
                <w:szCs w:val="21"/>
                <w:highlight w:val="none"/>
              </w:rPr>
              <w:t>职称</w:t>
            </w:r>
            <w:r>
              <w:rPr>
                <w:rFonts w:ascii="宋体" w:hAnsi="宋体" w:eastAsia="宋体"/>
                <w:b/>
                <w:color w:val="000000"/>
                <w:sz w:val="21"/>
                <w:szCs w:val="21"/>
                <w:highlight w:val="none"/>
              </w:rPr>
              <w:t>/职务</w:t>
            </w:r>
          </w:p>
        </w:tc>
        <w:tc>
          <w:tcPr>
            <w:tcW w:w="1660" w:type="dxa"/>
            <w:shd w:val="clear" w:color="auto" w:fill="auto"/>
            <w:vAlign w:val="center"/>
          </w:tcPr>
          <w:p>
            <w:pPr>
              <w:spacing w:line="320" w:lineRule="exact"/>
              <w:jc w:val="center"/>
              <w:rPr>
                <w:rFonts w:ascii="宋体" w:hAnsi="宋体" w:eastAsia="宋体"/>
                <w:b/>
                <w:color w:val="000000"/>
                <w:sz w:val="21"/>
                <w:szCs w:val="21"/>
                <w:highlight w:val="none"/>
              </w:rPr>
            </w:pPr>
            <w:r>
              <w:rPr>
                <w:rFonts w:hint="eastAsia" w:ascii="宋体" w:hAnsi="宋体" w:eastAsia="宋体"/>
                <w:b/>
                <w:color w:val="000000"/>
                <w:sz w:val="21"/>
                <w:szCs w:val="21"/>
                <w:highlight w:val="none"/>
              </w:rPr>
              <w:t>承担角色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1</w:t>
            </w:r>
          </w:p>
        </w:tc>
        <w:tc>
          <w:tcPr>
            <w:tcW w:w="1185"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赵金广</w:t>
            </w:r>
          </w:p>
        </w:tc>
        <w:tc>
          <w:tcPr>
            <w:tcW w:w="2323"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江苏联合职业技术学院无锡交通分院</w:t>
            </w:r>
          </w:p>
        </w:tc>
        <w:tc>
          <w:tcPr>
            <w:tcW w:w="2226"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副教授/数控教研室</w:t>
            </w:r>
          </w:p>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主任</w:t>
            </w:r>
          </w:p>
        </w:tc>
        <w:tc>
          <w:tcPr>
            <w:tcW w:w="1660"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2</w:t>
            </w:r>
          </w:p>
        </w:tc>
        <w:tc>
          <w:tcPr>
            <w:tcW w:w="1185"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顾国强</w:t>
            </w:r>
          </w:p>
        </w:tc>
        <w:tc>
          <w:tcPr>
            <w:tcW w:w="2323"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江苏联合职业技术学院无锡交通分院</w:t>
            </w:r>
          </w:p>
        </w:tc>
        <w:tc>
          <w:tcPr>
            <w:tcW w:w="2226"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rPr>
              <w:t>副教授/</w:t>
            </w:r>
            <w:r>
              <w:rPr>
                <w:rFonts w:hint="eastAsia" w:asciiTheme="minorEastAsia" w:hAnsiTheme="minorEastAsia" w:eastAsiaTheme="minorEastAsia"/>
                <w:bCs/>
                <w:color w:val="000000"/>
                <w:sz w:val="21"/>
                <w:szCs w:val="21"/>
                <w:highlight w:val="none"/>
                <w:lang w:eastAsia="zh-CN"/>
              </w:rPr>
              <w:t>二级学院</w:t>
            </w:r>
          </w:p>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副院长</w:t>
            </w:r>
          </w:p>
        </w:tc>
        <w:tc>
          <w:tcPr>
            <w:tcW w:w="1660"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3</w:t>
            </w:r>
          </w:p>
        </w:tc>
        <w:tc>
          <w:tcPr>
            <w:tcW w:w="1185"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徐春艳</w:t>
            </w:r>
          </w:p>
        </w:tc>
        <w:tc>
          <w:tcPr>
            <w:tcW w:w="2323"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江苏联合职业技术学院无锡交通分院</w:t>
            </w:r>
          </w:p>
        </w:tc>
        <w:tc>
          <w:tcPr>
            <w:tcW w:w="2226"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副教授</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eastAsia" w:asciiTheme="minorEastAsia" w:hAnsiTheme="minorEastAsia" w:eastAsiaTheme="minorEastAsia"/>
                <w:bCs/>
                <w:color w:val="000000"/>
                <w:sz w:val="21"/>
                <w:szCs w:val="21"/>
                <w:highlight w:val="none"/>
                <w:lang w:val="en-US" w:eastAsia="zh-CN"/>
              </w:rPr>
            </w:pPr>
            <w:r>
              <w:rPr>
                <w:rFonts w:hint="eastAsia" w:asciiTheme="minorEastAsia" w:hAnsiTheme="minorEastAsia" w:eastAsiaTheme="minorEastAsia"/>
                <w:bCs/>
                <w:color w:val="000000"/>
                <w:sz w:val="21"/>
                <w:szCs w:val="21"/>
                <w:highlight w:val="none"/>
                <w:lang w:val="en-US" w:eastAsia="zh-CN"/>
              </w:rPr>
              <w:t>4</w:t>
            </w:r>
          </w:p>
        </w:tc>
        <w:tc>
          <w:tcPr>
            <w:tcW w:w="1185"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eastAsia="zh-CN"/>
              </w:rPr>
              <w:t>崔元刚</w:t>
            </w:r>
          </w:p>
        </w:tc>
        <w:tc>
          <w:tcPr>
            <w:tcW w:w="2323"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江苏联合职业技术学院无锡交通分院</w:t>
            </w:r>
          </w:p>
        </w:tc>
        <w:tc>
          <w:tcPr>
            <w:tcW w:w="2226"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副教授</w:t>
            </w:r>
          </w:p>
        </w:tc>
        <w:tc>
          <w:tcPr>
            <w:tcW w:w="1660"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val="en-US" w:eastAsia="zh-CN"/>
              </w:rPr>
              <w:t>5</w:t>
            </w:r>
          </w:p>
        </w:tc>
        <w:tc>
          <w:tcPr>
            <w:tcW w:w="1185"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sz w:val="21"/>
                <w:szCs w:val="21"/>
                <w:highlight w:val="none"/>
              </w:rPr>
              <w:t>宋树新</w:t>
            </w:r>
          </w:p>
        </w:tc>
        <w:tc>
          <w:tcPr>
            <w:tcW w:w="2323"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无锡贝斯特精机股份有限公司</w:t>
            </w:r>
          </w:p>
        </w:tc>
        <w:tc>
          <w:tcPr>
            <w:tcW w:w="2226"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工程师/主任</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sz w:val="21"/>
                <w:szCs w:val="21"/>
                <w:highlight w:val="none"/>
              </w:rPr>
              <w:t>企业专家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val="en-US" w:eastAsia="zh-CN"/>
              </w:rPr>
              <w:t>6</w:t>
            </w:r>
          </w:p>
        </w:tc>
        <w:tc>
          <w:tcPr>
            <w:tcW w:w="1185"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sz w:val="21"/>
                <w:szCs w:val="21"/>
                <w:highlight w:val="none"/>
              </w:rPr>
              <w:t>肖康</w:t>
            </w:r>
          </w:p>
        </w:tc>
        <w:tc>
          <w:tcPr>
            <w:tcW w:w="2323"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上汽大通无锡分公司</w:t>
            </w:r>
          </w:p>
        </w:tc>
        <w:tc>
          <w:tcPr>
            <w:tcW w:w="2226"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工程师/主任</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sz w:val="21"/>
                <w:szCs w:val="21"/>
                <w:highlight w:val="none"/>
              </w:rPr>
              <w:t>企业专家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val="en-US" w:eastAsia="zh-CN"/>
              </w:rPr>
              <w:t>7</w:t>
            </w:r>
          </w:p>
        </w:tc>
        <w:tc>
          <w:tcPr>
            <w:tcW w:w="1185"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lang w:val="en-US" w:eastAsia="zh-CN"/>
              </w:rPr>
              <w:t>刘江淮</w:t>
            </w:r>
          </w:p>
        </w:tc>
        <w:tc>
          <w:tcPr>
            <w:tcW w:w="2323"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lang w:val="en-US" w:eastAsia="zh-CN"/>
              </w:rPr>
              <w:t>无锡宏源机电科技股份有限公司</w:t>
            </w:r>
          </w:p>
        </w:tc>
        <w:tc>
          <w:tcPr>
            <w:tcW w:w="2226"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lang w:val="en-US" w:eastAsia="zh-CN"/>
              </w:rPr>
              <w:t>党委副书记</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sz w:val="21"/>
                <w:szCs w:val="21"/>
                <w:highlight w:val="none"/>
              </w:rPr>
              <w:t>企业专家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val="en-US" w:eastAsia="zh-CN"/>
              </w:rPr>
              <w:t>8</w:t>
            </w:r>
          </w:p>
        </w:tc>
        <w:tc>
          <w:tcPr>
            <w:tcW w:w="1185" w:type="dxa"/>
            <w:shd w:val="clear" w:color="auto" w:fill="auto"/>
            <w:vAlign w:val="center"/>
          </w:tcPr>
          <w:p>
            <w:pPr>
              <w:jc w:val="center"/>
              <w:rPr>
                <w:rFonts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张国新</w:t>
            </w:r>
          </w:p>
        </w:tc>
        <w:tc>
          <w:tcPr>
            <w:tcW w:w="2323" w:type="dxa"/>
            <w:shd w:val="clear" w:color="auto" w:fill="auto"/>
            <w:vAlign w:val="center"/>
          </w:tcPr>
          <w:p>
            <w:pPr>
              <w:jc w:val="center"/>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无锡科技职业学院</w:t>
            </w:r>
          </w:p>
        </w:tc>
        <w:tc>
          <w:tcPr>
            <w:tcW w:w="2226"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教授/</w:t>
            </w:r>
            <w:r>
              <w:rPr>
                <w:rFonts w:hint="eastAsia" w:asciiTheme="minorEastAsia" w:hAnsiTheme="minorEastAsia" w:eastAsiaTheme="minorEastAsia"/>
                <w:bCs/>
                <w:color w:val="000000"/>
                <w:sz w:val="21"/>
                <w:szCs w:val="21"/>
                <w:highlight w:val="none"/>
                <w:lang w:eastAsia="zh-CN"/>
              </w:rPr>
              <w:t>二级</w:t>
            </w:r>
            <w:r>
              <w:rPr>
                <w:rFonts w:hint="eastAsia" w:asciiTheme="minorEastAsia" w:hAnsiTheme="minorEastAsia" w:eastAsiaTheme="minorEastAsia"/>
                <w:bCs/>
                <w:color w:val="000000"/>
                <w:sz w:val="21"/>
                <w:szCs w:val="21"/>
                <w:highlight w:val="none"/>
              </w:rPr>
              <w:t>学院院长</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sz w:val="21"/>
                <w:szCs w:val="21"/>
                <w:highlight w:val="none"/>
              </w:rPr>
              <w:t>院校专家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val="en-US" w:eastAsia="zh-CN"/>
              </w:rPr>
              <w:t>9</w:t>
            </w:r>
          </w:p>
        </w:tc>
        <w:tc>
          <w:tcPr>
            <w:tcW w:w="1185" w:type="dxa"/>
            <w:shd w:val="clear" w:color="auto" w:fill="auto"/>
            <w:vAlign w:val="center"/>
          </w:tcPr>
          <w:p>
            <w:pPr>
              <w:jc w:val="center"/>
              <w:rPr>
                <w:rFonts w:hint="eastAsia" w:asciiTheme="minorEastAsia" w:hAnsiTheme="minorEastAsia" w:eastAsiaTheme="minorEastAsia"/>
                <w:bCs/>
                <w:sz w:val="21"/>
                <w:szCs w:val="21"/>
                <w:highlight w:val="none"/>
                <w:lang w:eastAsia="zh-CN"/>
              </w:rPr>
            </w:pPr>
            <w:r>
              <w:rPr>
                <w:rFonts w:hint="eastAsia" w:asciiTheme="minorEastAsia" w:hAnsiTheme="minorEastAsia" w:eastAsiaTheme="minorEastAsia"/>
                <w:bCs/>
                <w:sz w:val="21"/>
                <w:szCs w:val="21"/>
                <w:highlight w:val="none"/>
                <w:lang w:eastAsia="zh-CN"/>
              </w:rPr>
              <w:t>高巍</w:t>
            </w:r>
          </w:p>
        </w:tc>
        <w:tc>
          <w:tcPr>
            <w:tcW w:w="2323"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eastAsia="zh-CN"/>
              </w:rPr>
              <w:t>无锡立信高等职业技术学校</w:t>
            </w:r>
          </w:p>
        </w:tc>
        <w:tc>
          <w:tcPr>
            <w:tcW w:w="2226"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bCs/>
                <w:color w:val="000000"/>
                <w:sz w:val="21"/>
                <w:szCs w:val="21"/>
                <w:highlight w:val="none"/>
              </w:rPr>
              <w:t>副教授/</w:t>
            </w:r>
            <w:r>
              <w:rPr>
                <w:rFonts w:hint="eastAsia" w:asciiTheme="minorEastAsia" w:hAnsiTheme="minorEastAsia" w:eastAsiaTheme="minorEastAsia"/>
                <w:bCs/>
                <w:color w:val="000000"/>
                <w:sz w:val="21"/>
                <w:szCs w:val="21"/>
                <w:highlight w:val="none"/>
                <w:lang w:eastAsia="zh-CN"/>
              </w:rPr>
              <w:t>系</w:t>
            </w:r>
            <w:r>
              <w:rPr>
                <w:rFonts w:hint="eastAsia" w:asciiTheme="minorEastAsia" w:hAnsiTheme="minorEastAsia" w:eastAsiaTheme="minorEastAsia"/>
                <w:bCs/>
                <w:color w:val="000000"/>
                <w:sz w:val="21"/>
                <w:szCs w:val="21"/>
                <w:highlight w:val="none"/>
              </w:rPr>
              <w:t>主任</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sz w:val="21"/>
                <w:szCs w:val="21"/>
                <w:highlight w:val="none"/>
              </w:rPr>
              <w:t>院校专家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hint="default" w:asciiTheme="minorEastAsia" w:hAnsiTheme="minorEastAsia" w:eastAsiaTheme="minorEastAsia"/>
                <w:bCs/>
                <w:color w:val="000000"/>
                <w:sz w:val="21"/>
                <w:szCs w:val="21"/>
                <w:highlight w:val="none"/>
                <w:lang w:val="en-US" w:eastAsia="zh-CN"/>
              </w:rPr>
            </w:pPr>
            <w:r>
              <w:rPr>
                <w:rFonts w:hint="eastAsia" w:asciiTheme="minorEastAsia" w:hAnsiTheme="minorEastAsia" w:eastAsiaTheme="minorEastAsia"/>
                <w:bCs/>
                <w:color w:val="000000"/>
                <w:sz w:val="21"/>
                <w:szCs w:val="21"/>
                <w:highlight w:val="none"/>
                <w:lang w:val="en-US" w:eastAsia="zh-CN"/>
              </w:rPr>
              <w:t>10</w:t>
            </w:r>
          </w:p>
        </w:tc>
        <w:tc>
          <w:tcPr>
            <w:tcW w:w="1185" w:type="dxa"/>
            <w:shd w:val="clear" w:color="auto" w:fill="auto"/>
            <w:vAlign w:val="center"/>
          </w:tcPr>
          <w:p>
            <w:pPr>
              <w:jc w:val="center"/>
              <w:rPr>
                <w:rFonts w:hint="eastAsia" w:asciiTheme="minorEastAsia" w:hAnsiTheme="minorEastAsia" w:eastAsiaTheme="minorEastAsia"/>
                <w:bCs/>
                <w:sz w:val="21"/>
                <w:szCs w:val="21"/>
                <w:highlight w:val="none"/>
                <w:lang w:eastAsia="zh-CN"/>
              </w:rPr>
            </w:pPr>
            <w:r>
              <w:rPr>
                <w:rFonts w:hint="eastAsia" w:asciiTheme="minorEastAsia" w:hAnsiTheme="minorEastAsia" w:eastAsiaTheme="minorEastAsia"/>
                <w:bCs/>
                <w:sz w:val="21"/>
                <w:szCs w:val="21"/>
                <w:highlight w:val="none"/>
                <w:lang w:eastAsia="zh-CN"/>
              </w:rPr>
              <w:t>甘辉</w:t>
            </w:r>
          </w:p>
        </w:tc>
        <w:tc>
          <w:tcPr>
            <w:tcW w:w="2323" w:type="dxa"/>
            <w:shd w:val="clear" w:color="auto" w:fill="auto"/>
            <w:vAlign w:val="center"/>
          </w:tcPr>
          <w:p>
            <w:pPr>
              <w:jc w:val="center"/>
              <w:rPr>
                <w:rFonts w:hint="eastAsia" w:asciiTheme="minorEastAsia" w:hAnsiTheme="minorEastAsia" w:eastAsiaTheme="minorEastAsia"/>
                <w:bCs/>
                <w:color w:val="000000"/>
                <w:sz w:val="21"/>
                <w:szCs w:val="21"/>
                <w:highlight w:val="none"/>
                <w:lang w:eastAsia="zh-CN"/>
              </w:rPr>
            </w:pPr>
            <w:r>
              <w:rPr>
                <w:rFonts w:hint="eastAsia" w:asciiTheme="minorEastAsia" w:hAnsiTheme="minorEastAsia" w:eastAsiaTheme="minorEastAsia"/>
                <w:bCs/>
                <w:color w:val="000000"/>
                <w:sz w:val="21"/>
                <w:szCs w:val="21"/>
                <w:highlight w:val="none"/>
                <w:lang w:eastAsia="zh-CN"/>
              </w:rPr>
              <w:t>江苏信息职业技术学院</w:t>
            </w:r>
          </w:p>
        </w:tc>
        <w:tc>
          <w:tcPr>
            <w:tcW w:w="2226" w:type="dxa"/>
            <w:shd w:val="clear" w:color="auto" w:fill="auto"/>
            <w:vAlign w:val="center"/>
          </w:tcPr>
          <w:p>
            <w:pPr>
              <w:jc w:val="center"/>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副教授/</w:t>
            </w:r>
            <w:r>
              <w:rPr>
                <w:rFonts w:hint="eastAsia" w:asciiTheme="minorEastAsia" w:hAnsiTheme="minorEastAsia" w:eastAsiaTheme="minorEastAsia"/>
                <w:bCs/>
                <w:color w:val="000000"/>
                <w:sz w:val="21"/>
                <w:szCs w:val="21"/>
                <w:highlight w:val="none"/>
                <w:lang w:eastAsia="zh-CN"/>
              </w:rPr>
              <w:t>二级</w:t>
            </w:r>
            <w:r>
              <w:rPr>
                <w:rFonts w:hint="eastAsia" w:asciiTheme="minorEastAsia" w:hAnsiTheme="minorEastAsia" w:eastAsiaTheme="minorEastAsia"/>
                <w:bCs/>
                <w:color w:val="000000"/>
                <w:sz w:val="21"/>
                <w:szCs w:val="21"/>
                <w:highlight w:val="none"/>
              </w:rPr>
              <w:t>学院</w:t>
            </w:r>
          </w:p>
          <w:p>
            <w:pPr>
              <w:jc w:val="center"/>
              <w:rPr>
                <w:rFonts w:hint="eastAsia" w:asciiTheme="minorEastAsia" w:hAnsiTheme="minorEastAsia" w:eastAsiaTheme="minorEastAsia"/>
                <w:b/>
                <w:color w:val="000000"/>
                <w:sz w:val="21"/>
                <w:szCs w:val="21"/>
                <w:highlight w:val="none"/>
                <w:lang w:eastAsia="zh-CN"/>
              </w:rPr>
            </w:pPr>
            <w:r>
              <w:rPr>
                <w:rFonts w:hint="eastAsia" w:asciiTheme="minorEastAsia" w:hAnsiTheme="minorEastAsia" w:eastAsiaTheme="minorEastAsia"/>
                <w:bCs/>
                <w:color w:val="000000"/>
                <w:sz w:val="21"/>
                <w:szCs w:val="21"/>
                <w:highlight w:val="none"/>
                <w:lang w:eastAsia="zh-CN"/>
              </w:rPr>
              <w:t>副院长</w:t>
            </w:r>
          </w:p>
        </w:tc>
        <w:tc>
          <w:tcPr>
            <w:tcW w:w="1660" w:type="dxa"/>
            <w:shd w:val="clear" w:color="auto" w:fill="auto"/>
            <w:vAlign w:val="center"/>
          </w:tcPr>
          <w:p>
            <w:pPr>
              <w:jc w:val="center"/>
              <w:rPr>
                <w:rFonts w:asciiTheme="minorEastAsia" w:hAnsiTheme="minorEastAsia" w:eastAsiaTheme="minorEastAsia"/>
                <w:b/>
                <w:color w:val="000000"/>
                <w:sz w:val="21"/>
                <w:szCs w:val="21"/>
                <w:highlight w:val="none"/>
              </w:rPr>
            </w:pPr>
            <w:r>
              <w:rPr>
                <w:rFonts w:hint="eastAsia" w:asciiTheme="minorEastAsia" w:hAnsiTheme="minorEastAsia" w:eastAsiaTheme="minorEastAsia"/>
                <w:sz w:val="21"/>
                <w:szCs w:val="21"/>
                <w:highlight w:val="none"/>
              </w:rPr>
              <w:t>院校专家</w:t>
            </w:r>
          </w:p>
        </w:tc>
      </w:tr>
    </w:tbl>
    <w:p>
      <w:pPr>
        <w:pStyle w:val="4"/>
        <w:ind w:firstLine="400"/>
        <w:rPr>
          <w:highlight w:val="none"/>
        </w:rPr>
      </w:pPr>
    </w:p>
    <w:p>
      <w:pPr>
        <w:pStyle w:val="4"/>
        <w:ind w:firstLine="400"/>
        <w:rPr>
          <w:highlight w:val="none"/>
        </w:rPr>
      </w:pPr>
    </w:p>
    <w:p>
      <w:pPr>
        <w:overflowPunct w:val="0"/>
        <w:spacing w:line="500" w:lineRule="exact"/>
        <w:ind w:firstLine="560" w:firstLineChars="200"/>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ind w:left="0" w:leftChars="0" w:firstLine="0" w:firstLineChars="0"/>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pStyle w:val="4"/>
        <w:rPr>
          <w:rFonts w:hint="eastAsia" w:ascii="仿宋" w:hAnsi="仿宋" w:eastAsia="仿宋"/>
          <w:sz w:val="24"/>
          <w:szCs w:val="24"/>
          <w:highlight w:val="none"/>
          <w:lang w:eastAsia="zh-CN"/>
        </w:rPr>
      </w:pPr>
      <w:r>
        <w:rPr>
          <w:rFonts w:hint="eastAsia" w:ascii="仿宋" w:hAnsi="仿宋" w:eastAsia="仿宋"/>
          <w:sz w:val="24"/>
          <w:szCs w:val="24"/>
          <w:highlight w:val="none"/>
        </w:rPr>
        <w:t>附件1：五年制高等职业教育数控技术专业教学进程安排表（2023级</w:t>
      </w:r>
      <w:r>
        <w:rPr>
          <w:rFonts w:hint="eastAsia" w:ascii="仿宋" w:hAnsi="仿宋" w:eastAsia="仿宋"/>
          <w:sz w:val="24"/>
          <w:szCs w:val="24"/>
          <w:highlight w:val="none"/>
          <w:lang w:eastAsia="zh-CN"/>
        </w:rPr>
        <w:t>）</w:t>
      </w:r>
    </w:p>
    <w:p>
      <w:pPr>
        <w:pStyle w:val="4"/>
        <w:rPr>
          <w:rFonts w:hint="eastAsia" w:ascii="仿宋" w:hAnsi="仿宋" w:eastAsia="仿宋"/>
          <w:sz w:val="24"/>
          <w:szCs w:val="24"/>
          <w:highlight w:val="none"/>
          <w:lang w:eastAsia="zh-CN"/>
        </w:rPr>
      </w:pPr>
      <w:r>
        <w:drawing>
          <wp:anchor distT="0" distB="0" distL="114300" distR="114300" simplePos="0" relativeHeight="251659264" behindDoc="0" locked="0" layoutInCell="1" allowOverlap="1">
            <wp:simplePos x="0" y="0"/>
            <wp:positionH relativeFrom="column">
              <wp:posOffset>92075</wp:posOffset>
            </wp:positionH>
            <wp:positionV relativeFrom="paragraph">
              <wp:posOffset>76200</wp:posOffset>
            </wp:positionV>
            <wp:extent cx="5270500" cy="7275830"/>
            <wp:effectExtent l="0" t="0" r="6350" b="127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70500" cy="7275830"/>
                    </a:xfrm>
                    <a:prstGeom prst="rect">
                      <a:avLst/>
                    </a:prstGeom>
                    <a:noFill/>
                    <a:ln>
                      <a:noFill/>
                    </a:ln>
                  </pic:spPr>
                </pic:pic>
              </a:graphicData>
            </a:graphic>
          </wp:anchor>
        </w:drawing>
      </w:r>
    </w:p>
    <w:p>
      <w:pPr>
        <w:pStyle w:val="4"/>
        <w:jc w:val="both"/>
        <w:rPr>
          <w:rFonts w:hint="eastAsia" w:ascii="仿宋" w:hAnsi="仿宋" w:eastAsia="仿宋"/>
          <w:sz w:val="24"/>
          <w:szCs w:val="24"/>
          <w:highlight w:val="none"/>
          <w:lang w:eastAsia="zh-CN"/>
        </w:rPr>
      </w:pPr>
    </w:p>
    <w:p>
      <w:pPr>
        <w:pStyle w:val="4"/>
        <w:rPr>
          <w:rFonts w:ascii="仿宋" w:hAnsi="仿宋" w:eastAsia="仿宋"/>
          <w:color w:val="FF0000"/>
          <w:sz w:val="28"/>
          <w:szCs w:val="28"/>
          <w:highlight w:val="none"/>
        </w:rPr>
      </w:pPr>
    </w:p>
    <w:p>
      <w:pPr>
        <w:pStyle w:val="4"/>
        <w:rPr>
          <w:rFonts w:ascii="仿宋" w:hAnsi="仿宋" w:eastAsia="仿宋"/>
          <w:color w:val="FF0000"/>
          <w:sz w:val="28"/>
          <w:szCs w:val="28"/>
          <w:highlight w:val="none"/>
        </w:rPr>
      </w:pPr>
    </w:p>
    <w:p>
      <w:pPr>
        <w:overflowPunct w:val="0"/>
        <w:spacing w:line="500" w:lineRule="exact"/>
        <w:jc w:val="center"/>
        <w:rPr>
          <w:sz w:val="24"/>
          <w:szCs w:val="24"/>
          <w:highlight w:val="none"/>
        </w:rPr>
        <w:sectPr>
          <w:footerReference r:id="rId4" w:type="default"/>
          <w:pgSz w:w="11906" w:h="16838"/>
          <w:pgMar w:top="1440" w:right="1800" w:bottom="1440" w:left="1800" w:header="851" w:footer="992" w:gutter="0"/>
          <w:pgNumType w:start="1"/>
          <w:cols w:space="0" w:num="1"/>
          <w:docGrid w:linePitch="312" w:charSpace="0"/>
        </w:sectPr>
      </w:pPr>
    </w:p>
    <w:p>
      <w:pPr>
        <w:pStyle w:val="4"/>
        <w:ind w:left="0" w:leftChars="0" w:firstLine="0" w:firstLineChars="0"/>
        <w:rPr>
          <w:rFonts w:hint="eastAsia" w:ascii="宋体" w:hAnsi="宋体" w:cs="宋体"/>
          <w:b/>
          <w:bCs/>
          <w:sz w:val="18"/>
          <w:szCs w:val="18"/>
          <w:highlight w:val="none"/>
        </w:rPr>
      </w:pPr>
    </w:p>
    <w:p>
      <w:pPr>
        <w:pStyle w:val="4"/>
        <w:ind w:left="0" w:leftChars="0" w:firstLine="0" w:firstLineChars="0"/>
        <w:rPr>
          <w:rFonts w:ascii="仿宋" w:hAnsi="仿宋" w:eastAsia="仿宋"/>
          <w:sz w:val="28"/>
          <w:szCs w:val="28"/>
          <w:highlight w:val="none"/>
        </w:rPr>
      </w:pPr>
    </w:p>
    <w:sectPr>
      <w:pgSz w:w="16838" w:h="11906" w:orient="landscape"/>
      <w:pgMar w:top="1803" w:right="1440" w:bottom="1803" w:left="1440" w:header="851" w:footer="992"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629863"/>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922017220"/>
    </w:sdtPr>
    <w:sdtEndPr>
      <w:rPr>
        <w:sz w:val="21"/>
        <w:szCs w:val="21"/>
      </w:rPr>
    </w:sdtEndPr>
    <w:sdtContent>
      <w:p>
        <w:pPr>
          <w:pStyle w:val="7"/>
          <w:jc w:val="center"/>
          <w:rPr>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609DC"/>
    <w:multiLevelType w:val="singleLevel"/>
    <w:tmpl w:val="A9F609DC"/>
    <w:lvl w:ilvl="0" w:tentative="0">
      <w:start w:val="3"/>
      <w:numFmt w:val="chineseCounting"/>
      <w:suff w:val="nothing"/>
      <w:lvlText w:val="（%1）"/>
      <w:lvlJc w:val="left"/>
      <w:rPr>
        <w:rFonts w:hint="eastAsia"/>
      </w:rPr>
    </w:lvl>
  </w:abstractNum>
  <w:abstractNum w:abstractNumId="1">
    <w:nsid w:val="FCA7EB83"/>
    <w:multiLevelType w:val="singleLevel"/>
    <w:tmpl w:val="FCA7EB83"/>
    <w:lvl w:ilvl="0" w:tentative="0">
      <w:start w:val="2"/>
      <w:numFmt w:val="decimal"/>
      <w:suff w:val="space"/>
      <w:lvlText w:val="%1."/>
      <w:lvlJc w:val="left"/>
    </w:lvl>
  </w:abstractNum>
  <w:abstractNum w:abstractNumId="2">
    <w:nsid w:val="5EE5D5D1"/>
    <w:multiLevelType w:val="singleLevel"/>
    <w:tmpl w:val="5EE5D5D1"/>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0"/>
  <w:bordersDoNotSurroundFooter w:val="0"/>
  <w:documentProtection w:enforcement="0"/>
  <w:defaultTabStop w:val="420"/>
  <w:drawingGridHorizontalSpacing w:val="3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NTJhZmVjM2FmNzY2NTBlZWNlNTdjNzUwODYwNWMifQ=="/>
  </w:docVars>
  <w:rsids>
    <w:rsidRoot w:val="00172A27"/>
    <w:rsid w:val="0002040C"/>
    <w:rsid w:val="00024F2F"/>
    <w:rsid w:val="00025859"/>
    <w:rsid w:val="00040AA7"/>
    <w:rsid w:val="00044E18"/>
    <w:rsid w:val="00086E77"/>
    <w:rsid w:val="00097115"/>
    <w:rsid w:val="000A6BB7"/>
    <w:rsid w:val="000A6D7C"/>
    <w:rsid w:val="000B7C6D"/>
    <w:rsid w:val="000D6C9A"/>
    <w:rsid w:val="000E05E8"/>
    <w:rsid w:val="000F1A59"/>
    <w:rsid w:val="00103175"/>
    <w:rsid w:val="00104A2A"/>
    <w:rsid w:val="001076C6"/>
    <w:rsid w:val="00116A8A"/>
    <w:rsid w:val="00116F87"/>
    <w:rsid w:val="0012113D"/>
    <w:rsid w:val="00132A70"/>
    <w:rsid w:val="00150D58"/>
    <w:rsid w:val="00153DF5"/>
    <w:rsid w:val="00185808"/>
    <w:rsid w:val="001962BE"/>
    <w:rsid w:val="001A2D41"/>
    <w:rsid w:val="001A63B9"/>
    <w:rsid w:val="001C2398"/>
    <w:rsid w:val="001D52B7"/>
    <w:rsid w:val="001E4266"/>
    <w:rsid w:val="002047F3"/>
    <w:rsid w:val="002139FD"/>
    <w:rsid w:val="00215C08"/>
    <w:rsid w:val="00216342"/>
    <w:rsid w:val="00226CA5"/>
    <w:rsid w:val="002521DE"/>
    <w:rsid w:val="00253957"/>
    <w:rsid w:val="0027136A"/>
    <w:rsid w:val="00281A94"/>
    <w:rsid w:val="00292415"/>
    <w:rsid w:val="002A3373"/>
    <w:rsid w:val="002C4CF5"/>
    <w:rsid w:val="002E6FE3"/>
    <w:rsid w:val="002F1168"/>
    <w:rsid w:val="002F1819"/>
    <w:rsid w:val="002F7B0D"/>
    <w:rsid w:val="003043AF"/>
    <w:rsid w:val="00311DE1"/>
    <w:rsid w:val="003339A3"/>
    <w:rsid w:val="0034178C"/>
    <w:rsid w:val="003446FF"/>
    <w:rsid w:val="00346996"/>
    <w:rsid w:val="00352008"/>
    <w:rsid w:val="003535E7"/>
    <w:rsid w:val="00362599"/>
    <w:rsid w:val="00364F6D"/>
    <w:rsid w:val="00373461"/>
    <w:rsid w:val="003D21B2"/>
    <w:rsid w:val="003E1465"/>
    <w:rsid w:val="0040109E"/>
    <w:rsid w:val="00401360"/>
    <w:rsid w:val="004123D7"/>
    <w:rsid w:val="00434493"/>
    <w:rsid w:val="004533D1"/>
    <w:rsid w:val="004771C6"/>
    <w:rsid w:val="00487304"/>
    <w:rsid w:val="0049446D"/>
    <w:rsid w:val="004A02F8"/>
    <w:rsid w:val="004A4DDF"/>
    <w:rsid w:val="004B5010"/>
    <w:rsid w:val="004F4641"/>
    <w:rsid w:val="004F6CB2"/>
    <w:rsid w:val="00502FA0"/>
    <w:rsid w:val="005140AF"/>
    <w:rsid w:val="00514311"/>
    <w:rsid w:val="0051584C"/>
    <w:rsid w:val="00537611"/>
    <w:rsid w:val="005516A1"/>
    <w:rsid w:val="005539A0"/>
    <w:rsid w:val="00554CEA"/>
    <w:rsid w:val="00554EBD"/>
    <w:rsid w:val="00577E7E"/>
    <w:rsid w:val="005B7AF5"/>
    <w:rsid w:val="005D2910"/>
    <w:rsid w:val="005D68EB"/>
    <w:rsid w:val="005F628F"/>
    <w:rsid w:val="00614CE7"/>
    <w:rsid w:val="00617206"/>
    <w:rsid w:val="00623F24"/>
    <w:rsid w:val="0063043B"/>
    <w:rsid w:val="006367EE"/>
    <w:rsid w:val="0064432E"/>
    <w:rsid w:val="006478AB"/>
    <w:rsid w:val="00654A16"/>
    <w:rsid w:val="00657175"/>
    <w:rsid w:val="0066275F"/>
    <w:rsid w:val="00666725"/>
    <w:rsid w:val="00671243"/>
    <w:rsid w:val="0069485D"/>
    <w:rsid w:val="006964DC"/>
    <w:rsid w:val="006A486E"/>
    <w:rsid w:val="006D30F0"/>
    <w:rsid w:val="006D7475"/>
    <w:rsid w:val="006E029E"/>
    <w:rsid w:val="00703E74"/>
    <w:rsid w:val="00713BE8"/>
    <w:rsid w:val="00714C99"/>
    <w:rsid w:val="007273D9"/>
    <w:rsid w:val="00762405"/>
    <w:rsid w:val="007631FD"/>
    <w:rsid w:val="00766E1E"/>
    <w:rsid w:val="00767AA9"/>
    <w:rsid w:val="00775931"/>
    <w:rsid w:val="00776739"/>
    <w:rsid w:val="007958B0"/>
    <w:rsid w:val="007C273D"/>
    <w:rsid w:val="007C67FC"/>
    <w:rsid w:val="007D0B16"/>
    <w:rsid w:val="007D191B"/>
    <w:rsid w:val="007F1A1F"/>
    <w:rsid w:val="007F47D5"/>
    <w:rsid w:val="007F758A"/>
    <w:rsid w:val="00831188"/>
    <w:rsid w:val="00840561"/>
    <w:rsid w:val="008425A4"/>
    <w:rsid w:val="00877E70"/>
    <w:rsid w:val="0088086A"/>
    <w:rsid w:val="0089144F"/>
    <w:rsid w:val="008A5BFC"/>
    <w:rsid w:val="008B25E7"/>
    <w:rsid w:val="008B480A"/>
    <w:rsid w:val="008C28A8"/>
    <w:rsid w:val="008C355A"/>
    <w:rsid w:val="008D3B92"/>
    <w:rsid w:val="008E0239"/>
    <w:rsid w:val="008E6DD3"/>
    <w:rsid w:val="008F709E"/>
    <w:rsid w:val="0090291D"/>
    <w:rsid w:val="00903531"/>
    <w:rsid w:val="00915DB5"/>
    <w:rsid w:val="009439D8"/>
    <w:rsid w:val="00946F49"/>
    <w:rsid w:val="00950C6E"/>
    <w:rsid w:val="00975539"/>
    <w:rsid w:val="00982587"/>
    <w:rsid w:val="009853EA"/>
    <w:rsid w:val="009A7763"/>
    <w:rsid w:val="009B179C"/>
    <w:rsid w:val="009B4816"/>
    <w:rsid w:val="009C63F5"/>
    <w:rsid w:val="009D2156"/>
    <w:rsid w:val="009D27E1"/>
    <w:rsid w:val="009F7A5E"/>
    <w:rsid w:val="009F7C88"/>
    <w:rsid w:val="00A05177"/>
    <w:rsid w:val="00A05830"/>
    <w:rsid w:val="00A066E4"/>
    <w:rsid w:val="00A22852"/>
    <w:rsid w:val="00A25A0C"/>
    <w:rsid w:val="00A30E7E"/>
    <w:rsid w:val="00A5136B"/>
    <w:rsid w:val="00A755D6"/>
    <w:rsid w:val="00A7631B"/>
    <w:rsid w:val="00A8143C"/>
    <w:rsid w:val="00A9228B"/>
    <w:rsid w:val="00A95428"/>
    <w:rsid w:val="00AC306D"/>
    <w:rsid w:val="00AD5759"/>
    <w:rsid w:val="00AD787C"/>
    <w:rsid w:val="00AE3714"/>
    <w:rsid w:val="00AE3FCB"/>
    <w:rsid w:val="00B1367F"/>
    <w:rsid w:val="00B54140"/>
    <w:rsid w:val="00B80CD1"/>
    <w:rsid w:val="00B8725E"/>
    <w:rsid w:val="00B87526"/>
    <w:rsid w:val="00B87A4B"/>
    <w:rsid w:val="00B90ED1"/>
    <w:rsid w:val="00B9228F"/>
    <w:rsid w:val="00B95905"/>
    <w:rsid w:val="00B966B5"/>
    <w:rsid w:val="00BA468D"/>
    <w:rsid w:val="00BC6362"/>
    <w:rsid w:val="00BD4AF6"/>
    <w:rsid w:val="00BD4F06"/>
    <w:rsid w:val="00BE57BB"/>
    <w:rsid w:val="00C00CF4"/>
    <w:rsid w:val="00C06C84"/>
    <w:rsid w:val="00C15B4E"/>
    <w:rsid w:val="00C178F5"/>
    <w:rsid w:val="00C17D2E"/>
    <w:rsid w:val="00C21DC6"/>
    <w:rsid w:val="00C40425"/>
    <w:rsid w:val="00C41A31"/>
    <w:rsid w:val="00C4514A"/>
    <w:rsid w:val="00C77E44"/>
    <w:rsid w:val="00C87721"/>
    <w:rsid w:val="00CA03EB"/>
    <w:rsid w:val="00CC0A94"/>
    <w:rsid w:val="00CC1E4A"/>
    <w:rsid w:val="00CD5F2B"/>
    <w:rsid w:val="00CD7FD6"/>
    <w:rsid w:val="00CE6EAF"/>
    <w:rsid w:val="00D11374"/>
    <w:rsid w:val="00D20B58"/>
    <w:rsid w:val="00D267D3"/>
    <w:rsid w:val="00D34F06"/>
    <w:rsid w:val="00D403E2"/>
    <w:rsid w:val="00D455FA"/>
    <w:rsid w:val="00D61193"/>
    <w:rsid w:val="00D726EA"/>
    <w:rsid w:val="00D742EE"/>
    <w:rsid w:val="00D76AAE"/>
    <w:rsid w:val="00D87932"/>
    <w:rsid w:val="00D922A7"/>
    <w:rsid w:val="00DA277D"/>
    <w:rsid w:val="00DA5BC8"/>
    <w:rsid w:val="00DC6048"/>
    <w:rsid w:val="00DD354D"/>
    <w:rsid w:val="00DE7416"/>
    <w:rsid w:val="00DF2BFD"/>
    <w:rsid w:val="00E15025"/>
    <w:rsid w:val="00E24612"/>
    <w:rsid w:val="00E27A3B"/>
    <w:rsid w:val="00E521C4"/>
    <w:rsid w:val="00E54B3A"/>
    <w:rsid w:val="00E74487"/>
    <w:rsid w:val="00EC049E"/>
    <w:rsid w:val="00ED1554"/>
    <w:rsid w:val="00EE6518"/>
    <w:rsid w:val="00EF048B"/>
    <w:rsid w:val="00EF43B9"/>
    <w:rsid w:val="00F115B0"/>
    <w:rsid w:val="00F34CA9"/>
    <w:rsid w:val="00F35B09"/>
    <w:rsid w:val="00F40EF0"/>
    <w:rsid w:val="00F60852"/>
    <w:rsid w:val="00F71777"/>
    <w:rsid w:val="00F7522F"/>
    <w:rsid w:val="00F76386"/>
    <w:rsid w:val="00F8422B"/>
    <w:rsid w:val="00FA00A3"/>
    <w:rsid w:val="00FC3D40"/>
    <w:rsid w:val="00FE62B5"/>
    <w:rsid w:val="00FE6EA9"/>
    <w:rsid w:val="00FF4D66"/>
    <w:rsid w:val="00FF77D3"/>
    <w:rsid w:val="01791910"/>
    <w:rsid w:val="020314CC"/>
    <w:rsid w:val="02502671"/>
    <w:rsid w:val="027C3466"/>
    <w:rsid w:val="02914420"/>
    <w:rsid w:val="02FB6CDA"/>
    <w:rsid w:val="032A62E1"/>
    <w:rsid w:val="03461EE5"/>
    <w:rsid w:val="03650426"/>
    <w:rsid w:val="0396194E"/>
    <w:rsid w:val="03CE2F2B"/>
    <w:rsid w:val="03E5328D"/>
    <w:rsid w:val="0419673B"/>
    <w:rsid w:val="04333C79"/>
    <w:rsid w:val="04722FB1"/>
    <w:rsid w:val="04A24CDA"/>
    <w:rsid w:val="04D94616"/>
    <w:rsid w:val="051829A6"/>
    <w:rsid w:val="053047DC"/>
    <w:rsid w:val="05801990"/>
    <w:rsid w:val="05CB04ED"/>
    <w:rsid w:val="05F25FD0"/>
    <w:rsid w:val="05F26472"/>
    <w:rsid w:val="05F534D0"/>
    <w:rsid w:val="05FB572F"/>
    <w:rsid w:val="062C6D36"/>
    <w:rsid w:val="065E559B"/>
    <w:rsid w:val="067E4035"/>
    <w:rsid w:val="06EB1AE6"/>
    <w:rsid w:val="06F41579"/>
    <w:rsid w:val="07001004"/>
    <w:rsid w:val="070457D8"/>
    <w:rsid w:val="0717652C"/>
    <w:rsid w:val="07384F09"/>
    <w:rsid w:val="074E2EF7"/>
    <w:rsid w:val="07674EB1"/>
    <w:rsid w:val="079E79DA"/>
    <w:rsid w:val="07AD0D3A"/>
    <w:rsid w:val="07ED25AB"/>
    <w:rsid w:val="0845254C"/>
    <w:rsid w:val="08580AB4"/>
    <w:rsid w:val="08657A5F"/>
    <w:rsid w:val="088C2ED0"/>
    <w:rsid w:val="08911664"/>
    <w:rsid w:val="08D12032"/>
    <w:rsid w:val="08EF3B90"/>
    <w:rsid w:val="08F22D22"/>
    <w:rsid w:val="08F36764"/>
    <w:rsid w:val="090C33A6"/>
    <w:rsid w:val="093E7D98"/>
    <w:rsid w:val="094B1DE4"/>
    <w:rsid w:val="09724226"/>
    <w:rsid w:val="097B2056"/>
    <w:rsid w:val="09864BCA"/>
    <w:rsid w:val="09B3041A"/>
    <w:rsid w:val="09D45935"/>
    <w:rsid w:val="0A3875B3"/>
    <w:rsid w:val="0A4C2557"/>
    <w:rsid w:val="0A6238E9"/>
    <w:rsid w:val="0A6E5D8A"/>
    <w:rsid w:val="0A811113"/>
    <w:rsid w:val="0AC41C8F"/>
    <w:rsid w:val="0ACC74BF"/>
    <w:rsid w:val="0ADC2971"/>
    <w:rsid w:val="0AEC0798"/>
    <w:rsid w:val="0AF4446C"/>
    <w:rsid w:val="0B227808"/>
    <w:rsid w:val="0B227B45"/>
    <w:rsid w:val="0B36499A"/>
    <w:rsid w:val="0B930B2F"/>
    <w:rsid w:val="0B977501"/>
    <w:rsid w:val="0C590D62"/>
    <w:rsid w:val="0C5B16F0"/>
    <w:rsid w:val="0C9B1F9A"/>
    <w:rsid w:val="0CCA77F0"/>
    <w:rsid w:val="0CF307C8"/>
    <w:rsid w:val="0D15073F"/>
    <w:rsid w:val="0D5D5C42"/>
    <w:rsid w:val="0D991370"/>
    <w:rsid w:val="0DD51C7C"/>
    <w:rsid w:val="0DD57ECE"/>
    <w:rsid w:val="0DD84DFE"/>
    <w:rsid w:val="0DE30DE2"/>
    <w:rsid w:val="0E0B1044"/>
    <w:rsid w:val="0E66593D"/>
    <w:rsid w:val="0E686A3B"/>
    <w:rsid w:val="0F29170C"/>
    <w:rsid w:val="0F4E6CC3"/>
    <w:rsid w:val="0F5E24D6"/>
    <w:rsid w:val="0F622D6C"/>
    <w:rsid w:val="0F917E25"/>
    <w:rsid w:val="0FA91612"/>
    <w:rsid w:val="0FB7580F"/>
    <w:rsid w:val="0FC867A4"/>
    <w:rsid w:val="0FCB06E2"/>
    <w:rsid w:val="103A2F3B"/>
    <w:rsid w:val="10434992"/>
    <w:rsid w:val="105F6519"/>
    <w:rsid w:val="10B0361A"/>
    <w:rsid w:val="10B60736"/>
    <w:rsid w:val="10BF7A6B"/>
    <w:rsid w:val="11140D0D"/>
    <w:rsid w:val="11312CF8"/>
    <w:rsid w:val="11330036"/>
    <w:rsid w:val="113965A4"/>
    <w:rsid w:val="115460F5"/>
    <w:rsid w:val="116D4627"/>
    <w:rsid w:val="117C186A"/>
    <w:rsid w:val="1182036D"/>
    <w:rsid w:val="1209283C"/>
    <w:rsid w:val="120E1D59"/>
    <w:rsid w:val="12111206"/>
    <w:rsid w:val="121B1FCB"/>
    <w:rsid w:val="121E62E8"/>
    <w:rsid w:val="12443874"/>
    <w:rsid w:val="1279351E"/>
    <w:rsid w:val="13085DDC"/>
    <w:rsid w:val="130B7EEE"/>
    <w:rsid w:val="131E424E"/>
    <w:rsid w:val="134C5D4C"/>
    <w:rsid w:val="135A5860"/>
    <w:rsid w:val="1374267F"/>
    <w:rsid w:val="137B151C"/>
    <w:rsid w:val="13A66595"/>
    <w:rsid w:val="13AC7923"/>
    <w:rsid w:val="14213E6D"/>
    <w:rsid w:val="14263231"/>
    <w:rsid w:val="144713D0"/>
    <w:rsid w:val="144C7FF4"/>
    <w:rsid w:val="14884536"/>
    <w:rsid w:val="149E4997"/>
    <w:rsid w:val="14B06601"/>
    <w:rsid w:val="14C80292"/>
    <w:rsid w:val="153C6003"/>
    <w:rsid w:val="15E038B4"/>
    <w:rsid w:val="15E1293C"/>
    <w:rsid w:val="15E96C0C"/>
    <w:rsid w:val="1624772B"/>
    <w:rsid w:val="162C3C3A"/>
    <w:rsid w:val="164125A5"/>
    <w:rsid w:val="16866209"/>
    <w:rsid w:val="169A4B1E"/>
    <w:rsid w:val="169C73CB"/>
    <w:rsid w:val="16FE2244"/>
    <w:rsid w:val="17137B02"/>
    <w:rsid w:val="171C0894"/>
    <w:rsid w:val="17757C3C"/>
    <w:rsid w:val="17EC241A"/>
    <w:rsid w:val="17F13B56"/>
    <w:rsid w:val="181810E3"/>
    <w:rsid w:val="18185587"/>
    <w:rsid w:val="1876405C"/>
    <w:rsid w:val="188449CB"/>
    <w:rsid w:val="18AA2F7C"/>
    <w:rsid w:val="18E109D1"/>
    <w:rsid w:val="18EF453A"/>
    <w:rsid w:val="18F41B50"/>
    <w:rsid w:val="19063099"/>
    <w:rsid w:val="192B4E46"/>
    <w:rsid w:val="19875749"/>
    <w:rsid w:val="19881F8C"/>
    <w:rsid w:val="19BE215E"/>
    <w:rsid w:val="19C81B86"/>
    <w:rsid w:val="1A1D261A"/>
    <w:rsid w:val="1A200723"/>
    <w:rsid w:val="1A252036"/>
    <w:rsid w:val="1A6F3939"/>
    <w:rsid w:val="1A9F18F0"/>
    <w:rsid w:val="1AAD66F7"/>
    <w:rsid w:val="1AD27C6F"/>
    <w:rsid w:val="1B1F4E3C"/>
    <w:rsid w:val="1B4E3813"/>
    <w:rsid w:val="1B993A77"/>
    <w:rsid w:val="1BAF54F4"/>
    <w:rsid w:val="1BAF5CAE"/>
    <w:rsid w:val="1BB2184F"/>
    <w:rsid w:val="1C0A51E7"/>
    <w:rsid w:val="1C3B58FE"/>
    <w:rsid w:val="1C5E227A"/>
    <w:rsid w:val="1C872925"/>
    <w:rsid w:val="1C9A0C60"/>
    <w:rsid w:val="1C9F1DD3"/>
    <w:rsid w:val="1CA37AF5"/>
    <w:rsid w:val="1CAB4C1C"/>
    <w:rsid w:val="1CD92947"/>
    <w:rsid w:val="1D0E253D"/>
    <w:rsid w:val="1D102CD1"/>
    <w:rsid w:val="1D60599D"/>
    <w:rsid w:val="1D703DC3"/>
    <w:rsid w:val="1DD84790"/>
    <w:rsid w:val="1EA03474"/>
    <w:rsid w:val="1ECA5145"/>
    <w:rsid w:val="1F010B23"/>
    <w:rsid w:val="1F187AED"/>
    <w:rsid w:val="1FB73F2C"/>
    <w:rsid w:val="1FB950A5"/>
    <w:rsid w:val="1FC00E5B"/>
    <w:rsid w:val="2020060D"/>
    <w:rsid w:val="206B2E88"/>
    <w:rsid w:val="208F7F77"/>
    <w:rsid w:val="214B077B"/>
    <w:rsid w:val="215051FD"/>
    <w:rsid w:val="21570452"/>
    <w:rsid w:val="215E49C8"/>
    <w:rsid w:val="21B93937"/>
    <w:rsid w:val="21FE759C"/>
    <w:rsid w:val="220646A2"/>
    <w:rsid w:val="220A4192"/>
    <w:rsid w:val="22102C20"/>
    <w:rsid w:val="222330BA"/>
    <w:rsid w:val="224156DA"/>
    <w:rsid w:val="22851A6B"/>
    <w:rsid w:val="22C70F1F"/>
    <w:rsid w:val="22C7782D"/>
    <w:rsid w:val="23160BB0"/>
    <w:rsid w:val="235E037A"/>
    <w:rsid w:val="237F295E"/>
    <w:rsid w:val="238E6718"/>
    <w:rsid w:val="23B56380"/>
    <w:rsid w:val="23BA2B87"/>
    <w:rsid w:val="23CD7676"/>
    <w:rsid w:val="23D9206E"/>
    <w:rsid w:val="23F610C0"/>
    <w:rsid w:val="23F7729A"/>
    <w:rsid w:val="244F0582"/>
    <w:rsid w:val="24A501A2"/>
    <w:rsid w:val="24A84C8A"/>
    <w:rsid w:val="24D528C8"/>
    <w:rsid w:val="259A3A7F"/>
    <w:rsid w:val="25DC4559"/>
    <w:rsid w:val="25E35827"/>
    <w:rsid w:val="25E5790C"/>
    <w:rsid w:val="25F04BCC"/>
    <w:rsid w:val="26BB2D03"/>
    <w:rsid w:val="27085BFB"/>
    <w:rsid w:val="275F4226"/>
    <w:rsid w:val="27A03850"/>
    <w:rsid w:val="27C41044"/>
    <w:rsid w:val="28164F13"/>
    <w:rsid w:val="283F090E"/>
    <w:rsid w:val="286B0B77"/>
    <w:rsid w:val="28C66939"/>
    <w:rsid w:val="28CF3A40"/>
    <w:rsid w:val="28EC2844"/>
    <w:rsid w:val="292C4647"/>
    <w:rsid w:val="294131B4"/>
    <w:rsid w:val="295B591D"/>
    <w:rsid w:val="29746395"/>
    <w:rsid w:val="2A313CE1"/>
    <w:rsid w:val="2A600349"/>
    <w:rsid w:val="2A704DAF"/>
    <w:rsid w:val="2A900FAD"/>
    <w:rsid w:val="2A922F90"/>
    <w:rsid w:val="2AA82A61"/>
    <w:rsid w:val="2AC318E9"/>
    <w:rsid w:val="2AE120F1"/>
    <w:rsid w:val="2B98280F"/>
    <w:rsid w:val="2BF46456"/>
    <w:rsid w:val="2BFA0BD3"/>
    <w:rsid w:val="2C0B1233"/>
    <w:rsid w:val="2C1E30EA"/>
    <w:rsid w:val="2C7642D0"/>
    <w:rsid w:val="2C9034E6"/>
    <w:rsid w:val="2C9D5C03"/>
    <w:rsid w:val="2D1A7254"/>
    <w:rsid w:val="2D241E80"/>
    <w:rsid w:val="2D63576B"/>
    <w:rsid w:val="2D9F26EA"/>
    <w:rsid w:val="2DD07D20"/>
    <w:rsid w:val="2DFE2A4A"/>
    <w:rsid w:val="2E033B70"/>
    <w:rsid w:val="2E0A72C8"/>
    <w:rsid w:val="2E725599"/>
    <w:rsid w:val="2EE33271"/>
    <w:rsid w:val="2EE63891"/>
    <w:rsid w:val="2EE85023"/>
    <w:rsid w:val="2EEE2D43"/>
    <w:rsid w:val="2F025547"/>
    <w:rsid w:val="2F027683"/>
    <w:rsid w:val="2F3F697A"/>
    <w:rsid w:val="2F6D5A71"/>
    <w:rsid w:val="2FA774C5"/>
    <w:rsid w:val="2FEA75AA"/>
    <w:rsid w:val="2FF10740"/>
    <w:rsid w:val="30AD0B0B"/>
    <w:rsid w:val="30DD7897"/>
    <w:rsid w:val="31186AB7"/>
    <w:rsid w:val="312F0DDF"/>
    <w:rsid w:val="313B3D6D"/>
    <w:rsid w:val="315D2D09"/>
    <w:rsid w:val="318C4454"/>
    <w:rsid w:val="31F74931"/>
    <w:rsid w:val="32136ADD"/>
    <w:rsid w:val="32427031"/>
    <w:rsid w:val="324F79A0"/>
    <w:rsid w:val="325251FF"/>
    <w:rsid w:val="32894C60"/>
    <w:rsid w:val="32B96D04"/>
    <w:rsid w:val="32BF05D3"/>
    <w:rsid w:val="32CE7302"/>
    <w:rsid w:val="330E71A5"/>
    <w:rsid w:val="33257CB4"/>
    <w:rsid w:val="33392A2C"/>
    <w:rsid w:val="33813B89"/>
    <w:rsid w:val="339B5E39"/>
    <w:rsid w:val="33BA61C5"/>
    <w:rsid w:val="33E24F83"/>
    <w:rsid w:val="33F06035"/>
    <w:rsid w:val="343165F4"/>
    <w:rsid w:val="345A507C"/>
    <w:rsid w:val="3484554F"/>
    <w:rsid w:val="34F644E6"/>
    <w:rsid w:val="351C2680"/>
    <w:rsid w:val="353B6E66"/>
    <w:rsid w:val="35633FD8"/>
    <w:rsid w:val="35833F64"/>
    <w:rsid w:val="35A82B85"/>
    <w:rsid w:val="35B30245"/>
    <w:rsid w:val="35DE7FD8"/>
    <w:rsid w:val="35F738B0"/>
    <w:rsid w:val="35FA4451"/>
    <w:rsid w:val="362D5CE3"/>
    <w:rsid w:val="365E711B"/>
    <w:rsid w:val="36653C36"/>
    <w:rsid w:val="36CE17DB"/>
    <w:rsid w:val="36DE6B3C"/>
    <w:rsid w:val="36F11025"/>
    <w:rsid w:val="36FF7BE6"/>
    <w:rsid w:val="37030562"/>
    <w:rsid w:val="37B502A5"/>
    <w:rsid w:val="37DF5322"/>
    <w:rsid w:val="382B5041"/>
    <w:rsid w:val="384F0EE0"/>
    <w:rsid w:val="3858115E"/>
    <w:rsid w:val="38D155B2"/>
    <w:rsid w:val="38D64C86"/>
    <w:rsid w:val="393E28D8"/>
    <w:rsid w:val="395170D7"/>
    <w:rsid w:val="396D7564"/>
    <w:rsid w:val="39B34CB8"/>
    <w:rsid w:val="39B50B97"/>
    <w:rsid w:val="39C26CA9"/>
    <w:rsid w:val="3A1219DE"/>
    <w:rsid w:val="3A200049"/>
    <w:rsid w:val="3AE07D2F"/>
    <w:rsid w:val="3B3B6F39"/>
    <w:rsid w:val="3B603C8D"/>
    <w:rsid w:val="3BD50F16"/>
    <w:rsid w:val="3C0D06AF"/>
    <w:rsid w:val="3C1A644D"/>
    <w:rsid w:val="3C371B2B"/>
    <w:rsid w:val="3C3A4A60"/>
    <w:rsid w:val="3C4F5E70"/>
    <w:rsid w:val="3C8A61DB"/>
    <w:rsid w:val="3CC316B6"/>
    <w:rsid w:val="3D12021E"/>
    <w:rsid w:val="3D1D0DC6"/>
    <w:rsid w:val="3D560ECD"/>
    <w:rsid w:val="3D595B76"/>
    <w:rsid w:val="3D8C5F4C"/>
    <w:rsid w:val="3D903E83"/>
    <w:rsid w:val="3D973D09"/>
    <w:rsid w:val="3DA768E2"/>
    <w:rsid w:val="3DB42DAD"/>
    <w:rsid w:val="3DCA7923"/>
    <w:rsid w:val="3DD84CED"/>
    <w:rsid w:val="3E065926"/>
    <w:rsid w:val="3EC64E7D"/>
    <w:rsid w:val="3EEE65BF"/>
    <w:rsid w:val="3EF23B8C"/>
    <w:rsid w:val="3EF618CF"/>
    <w:rsid w:val="3EFB5137"/>
    <w:rsid w:val="3F23468E"/>
    <w:rsid w:val="3F293612"/>
    <w:rsid w:val="3FA41114"/>
    <w:rsid w:val="3FA86BA7"/>
    <w:rsid w:val="3FE059F3"/>
    <w:rsid w:val="3FF51B86"/>
    <w:rsid w:val="40514C69"/>
    <w:rsid w:val="40603EF4"/>
    <w:rsid w:val="40A972C3"/>
    <w:rsid w:val="40CE4D5C"/>
    <w:rsid w:val="40E91F04"/>
    <w:rsid w:val="41D65295"/>
    <w:rsid w:val="422A2DE6"/>
    <w:rsid w:val="423D7815"/>
    <w:rsid w:val="42612E33"/>
    <w:rsid w:val="42B51AA1"/>
    <w:rsid w:val="42C159A0"/>
    <w:rsid w:val="42CF1CAE"/>
    <w:rsid w:val="42E04750"/>
    <w:rsid w:val="42F8373B"/>
    <w:rsid w:val="430C55F1"/>
    <w:rsid w:val="43160791"/>
    <w:rsid w:val="432B1AFF"/>
    <w:rsid w:val="43355679"/>
    <w:rsid w:val="435766B4"/>
    <w:rsid w:val="436533AE"/>
    <w:rsid w:val="43741E3D"/>
    <w:rsid w:val="43A044FF"/>
    <w:rsid w:val="440648B6"/>
    <w:rsid w:val="444063E5"/>
    <w:rsid w:val="44472EDA"/>
    <w:rsid w:val="445C40CF"/>
    <w:rsid w:val="44676118"/>
    <w:rsid w:val="447119F7"/>
    <w:rsid w:val="44A75419"/>
    <w:rsid w:val="44B00772"/>
    <w:rsid w:val="44BE52F3"/>
    <w:rsid w:val="45097C3A"/>
    <w:rsid w:val="456D0A1C"/>
    <w:rsid w:val="460B30EE"/>
    <w:rsid w:val="461518AD"/>
    <w:rsid w:val="461B197A"/>
    <w:rsid w:val="46460FBA"/>
    <w:rsid w:val="465A557C"/>
    <w:rsid w:val="46CF12B4"/>
    <w:rsid w:val="46F93C7F"/>
    <w:rsid w:val="47266AC9"/>
    <w:rsid w:val="47290367"/>
    <w:rsid w:val="476E78FE"/>
    <w:rsid w:val="4788128D"/>
    <w:rsid w:val="47B05F6F"/>
    <w:rsid w:val="47EC7D13"/>
    <w:rsid w:val="484F02A2"/>
    <w:rsid w:val="486E0728"/>
    <w:rsid w:val="486F26F2"/>
    <w:rsid w:val="48955D62"/>
    <w:rsid w:val="48B41CBC"/>
    <w:rsid w:val="48DF402C"/>
    <w:rsid w:val="48F9436C"/>
    <w:rsid w:val="492839CD"/>
    <w:rsid w:val="494276B3"/>
    <w:rsid w:val="49523BA5"/>
    <w:rsid w:val="495D7442"/>
    <w:rsid w:val="498811FA"/>
    <w:rsid w:val="498E0956"/>
    <w:rsid w:val="49EA31EF"/>
    <w:rsid w:val="4A0679D8"/>
    <w:rsid w:val="4A3F31F8"/>
    <w:rsid w:val="4A6B33C0"/>
    <w:rsid w:val="4A7806AE"/>
    <w:rsid w:val="4A8504B5"/>
    <w:rsid w:val="4A96711A"/>
    <w:rsid w:val="4AB9081B"/>
    <w:rsid w:val="4AEC1DD8"/>
    <w:rsid w:val="4B7047B7"/>
    <w:rsid w:val="4BAB57EF"/>
    <w:rsid w:val="4BAF52CC"/>
    <w:rsid w:val="4BB461F1"/>
    <w:rsid w:val="4BF70A34"/>
    <w:rsid w:val="4BF72F39"/>
    <w:rsid w:val="4C06511B"/>
    <w:rsid w:val="4C2E4D00"/>
    <w:rsid w:val="4C35155C"/>
    <w:rsid w:val="4C585DC5"/>
    <w:rsid w:val="4C6E7BFC"/>
    <w:rsid w:val="4C8449BE"/>
    <w:rsid w:val="4C84579A"/>
    <w:rsid w:val="4CAF57B3"/>
    <w:rsid w:val="4CCE1F03"/>
    <w:rsid w:val="4D07114B"/>
    <w:rsid w:val="4D114C8F"/>
    <w:rsid w:val="4D4077C7"/>
    <w:rsid w:val="4D7004D4"/>
    <w:rsid w:val="4DBC5B34"/>
    <w:rsid w:val="4E47059A"/>
    <w:rsid w:val="4E5F0613"/>
    <w:rsid w:val="4E7C606C"/>
    <w:rsid w:val="4EA04A36"/>
    <w:rsid w:val="4EFD40E3"/>
    <w:rsid w:val="4F2664F9"/>
    <w:rsid w:val="4F5F2AD9"/>
    <w:rsid w:val="4F637D7D"/>
    <w:rsid w:val="4F6C611D"/>
    <w:rsid w:val="4FDB2D91"/>
    <w:rsid w:val="50575F45"/>
    <w:rsid w:val="5066262C"/>
    <w:rsid w:val="507B6033"/>
    <w:rsid w:val="508B3E41"/>
    <w:rsid w:val="50A01005"/>
    <w:rsid w:val="50B769E4"/>
    <w:rsid w:val="50B82E88"/>
    <w:rsid w:val="51120B54"/>
    <w:rsid w:val="51124B24"/>
    <w:rsid w:val="511300BE"/>
    <w:rsid w:val="51A21442"/>
    <w:rsid w:val="51A82C92"/>
    <w:rsid w:val="51C6487F"/>
    <w:rsid w:val="51ED0539"/>
    <w:rsid w:val="520C2C94"/>
    <w:rsid w:val="523F01AC"/>
    <w:rsid w:val="524F15CA"/>
    <w:rsid w:val="526F21C3"/>
    <w:rsid w:val="527242A0"/>
    <w:rsid w:val="528B0128"/>
    <w:rsid w:val="52AC7DAF"/>
    <w:rsid w:val="52D82DE9"/>
    <w:rsid w:val="531A5D03"/>
    <w:rsid w:val="537868FE"/>
    <w:rsid w:val="53924CA9"/>
    <w:rsid w:val="53933738"/>
    <w:rsid w:val="53BC434B"/>
    <w:rsid w:val="53E75832"/>
    <w:rsid w:val="54264FE2"/>
    <w:rsid w:val="544638C7"/>
    <w:rsid w:val="54A92AF2"/>
    <w:rsid w:val="54C824D5"/>
    <w:rsid w:val="54CF52C6"/>
    <w:rsid w:val="55195EBF"/>
    <w:rsid w:val="554A6599"/>
    <w:rsid w:val="55935C72"/>
    <w:rsid w:val="55943798"/>
    <w:rsid w:val="55BE4F59"/>
    <w:rsid w:val="55CE4ED0"/>
    <w:rsid w:val="56116B96"/>
    <w:rsid w:val="56610F0F"/>
    <w:rsid w:val="566D1ABE"/>
    <w:rsid w:val="56707D61"/>
    <w:rsid w:val="567315FF"/>
    <w:rsid w:val="56D73E0E"/>
    <w:rsid w:val="56E94DB9"/>
    <w:rsid w:val="570B44CB"/>
    <w:rsid w:val="574D567F"/>
    <w:rsid w:val="574F6E88"/>
    <w:rsid w:val="577F3F2D"/>
    <w:rsid w:val="58012C64"/>
    <w:rsid w:val="58354DBE"/>
    <w:rsid w:val="583848AE"/>
    <w:rsid w:val="583A23D4"/>
    <w:rsid w:val="58482502"/>
    <w:rsid w:val="58684AEE"/>
    <w:rsid w:val="587A5D36"/>
    <w:rsid w:val="587F1CDC"/>
    <w:rsid w:val="58BD3621"/>
    <w:rsid w:val="58C90CB2"/>
    <w:rsid w:val="58FD423A"/>
    <w:rsid w:val="594F5B43"/>
    <w:rsid w:val="59513E7A"/>
    <w:rsid w:val="59830745"/>
    <w:rsid w:val="59D86349"/>
    <w:rsid w:val="59E7658C"/>
    <w:rsid w:val="5A3115B5"/>
    <w:rsid w:val="5A3E25D4"/>
    <w:rsid w:val="5AA4622B"/>
    <w:rsid w:val="5AE87719"/>
    <w:rsid w:val="5B2630E4"/>
    <w:rsid w:val="5B6B41D3"/>
    <w:rsid w:val="5B870A4C"/>
    <w:rsid w:val="5BA02E96"/>
    <w:rsid w:val="5BAD751D"/>
    <w:rsid w:val="5BDA4B82"/>
    <w:rsid w:val="5BE16142"/>
    <w:rsid w:val="5BEF1728"/>
    <w:rsid w:val="5C141B24"/>
    <w:rsid w:val="5C2515ED"/>
    <w:rsid w:val="5C675762"/>
    <w:rsid w:val="5C702F77"/>
    <w:rsid w:val="5CC85761"/>
    <w:rsid w:val="5CD42DA2"/>
    <w:rsid w:val="5D1551BE"/>
    <w:rsid w:val="5D2D60FD"/>
    <w:rsid w:val="5D443CF5"/>
    <w:rsid w:val="5D4D1C60"/>
    <w:rsid w:val="5D4E18AD"/>
    <w:rsid w:val="5D4F5A01"/>
    <w:rsid w:val="5D900CE9"/>
    <w:rsid w:val="5DD60DF1"/>
    <w:rsid w:val="5DEB4262"/>
    <w:rsid w:val="5E7E2333"/>
    <w:rsid w:val="5E8B5F88"/>
    <w:rsid w:val="5EB2490E"/>
    <w:rsid w:val="5EB6652D"/>
    <w:rsid w:val="5EC352EC"/>
    <w:rsid w:val="5ECF440A"/>
    <w:rsid w:val="5ED8390F"/>
    <w:rsid w:val="5EFB0F23"/>
    <w:rsid w:val="5F017DB1"/>
    <w:rsid w:val="5F207D95"/>
    <w:rsid w:val="5FB52AAB"/>
    <w:rsid w:val="5FFF43E0"/>
    <w:rsid w:val="604E1113"/>
    <w:rsid w:val="60777171"/>
    <w:rsid w:val="608038FB"/>
    <w:rsid w:val="609B59DA"/>
    <w:rsid w:val="612C2AD6"/>
    <w:rsid w:val="61404A90"/>
    <w:rsid w:val="61AA1621"/>
    <w:rsid w:val="61E41603"/>
    <w:rsid w:val="6211064A"/>
    <w:rsid w:val="62465E1A"/>
    <w:rsid w:val="6273224B"/>
    <w:rsid w:val="62DD052C"/>
    <w:rsid w:val="62FD0BCE"/>
    <w:rsid w:val="63944FF3"/>
    <w:rsid w:val="63C415AD"/>
    <w:rsid w:val="63D60700"/>
    <w:rsid w:val="63FD113B"/>
    <w:rsid w:val="64436AB5"/>
    <w:rsid w:val="645D28B7"/>
    <w:rsid w:val="648614BB"/>
    <w:rsid w:val="64CE65B3"/>
    <w:rsid w:val="650D39E7"/>
    <w:rsid w:val="65401246"/>
    <w:rsid w:val="6543667F"/>
    <w:rsid w:val="65497BF4"/>
    <w:rsid w:val="65817B3B"/>
    <w:rsid w:val="65A33C5C"/>
    <w:rsid w:val="65AA6694"/>
    <w:rsid w:val="65AB453F"/>
    <w:rsid w:val="65D35C16"/>
    <w:rsid w:val="65E87914"/>
    <w:rsid w:val="65EF161C"/>
    <w:rsid w:val="65FA13F5"/>
    <w:rsid w:val="65FD6478"/>
    <w:rsid w:val="66020B4A"/>
    <w:rsid w:val="660758C0"/>
    <w:rsid w:val="661C00E7"/>
    <w:rsid w:val="6655119C"/>
    <w:rsid w:val="66E92E42"/>
    <w:rsid w:val="67513273"/>
    <w:rsid w:val="6794675C"/>
    <w:rsid w:val="67DD3E48"/>
    <w:rsid w:val="680111AD"/>
    <w:rsid w:val="68624184"/>
    <w:rsid w:val="68833924"/>
    <w:rsid w:val="68921DB9"/>
    <w:rsid w:val="68DA3707"/>
    <w:rsid w:val="6927124E"/>
    <w:rsid w:val="696C42BD"/>
    <w:rsid w:val="698D367D"/>
    <w:rsid w:val="6A295C3A"/>
    <w:rsid w:val="6A3F1672"/>
    <w:rsid w:val="6A5F488C"/>
    <w:rsid w:val="6A821739"/>
    <w:rsid w:val="6A9D599D"/>
    <w:rsid w:val="6AA81420"/>
    <w:rsid w:val="6AAA163C"/>
    <w:rsid w:val="6AB9362D"/>
    <w:rsid w:val="6AEB70B9"/>
    <w:rsid w:val="6B95409A"/>
    <w:rsid w:val="6BF93494"/>
    <w:rsid w:val="6C4E74D7"/>
    <w:rsid w:val="6C686B68"/>
    <w:rsid w:val="6C7D4B2E"/>
    <w:rsid w:val="6C7E0C0E"/>
    <w:rsid w:val="6C953C26"/>
    <w:rsid w:val="6CA9147F"/>
    <w:rsid w:val="6CF11AC6"/>
    <w:rsid w:val="6D00310E"/>
    <w:rsid w:val="6D285F68"/>
    <w:rsid w:val="6D2C27DC"/>
    <w:rsid w:val="6D5C5A5E"/>
    <w:rsid w:val="6DA67EB7"/>
    <w:rsid w:val="6DD4732E"/>
    <w:rsid w:val="6DD8026E"/>
    <w:rsid w:val="6DEE0E0A"/>
    <w:rsid w:val="6DF162FB"/>
    <w:rsid w:val="6DF40E20"/>
    <w:rsid w:val="6E3C651B"/>
    <w:rsid w:val="6E3E1339"/>
    <w:rsid w:val="6E8234E0"/>
    <w:rsid w:val="6E91666F"/>
    <w:rsid w:val="6F977CB5"/>
    <w:rsid w:val="6FA56875"/>
    <w:rsid w:val="6FAC7C04"/>
    <w:rsid w:val="6FF27F47"/>
    <w:rsid w:val="704151BD"/>
    <w:rsid w:val="706E60C1"/>
    <w:rsid w:val="708446DD"/>
    <w:rsid w:val="7084648B"/>
    <w:rsid w:val="70D70CB1"/>
    <w:rsid w:val="71141A58"/>
    <w:rsid w:val="711C31B3"/>
    <w:rsid w:val="71673431"/>
    <w:rsid w:val="71970440"/>
    <w:rsid w:val="71D46F9E"/>
    <w:rsid w:val="71E52F59"/>
    <w:rsid w:val="71ED0060"/>
    <w:rsid w:val="72133F6A"/>
    <w:rsid w:val="72827A92"/>
    <w:rsid w:val="72E2393D"/>
    <w:rsid w:val="72FE3F7D"/>
    <w:rsid w:val="730438B3"/>
    <w:rsid w:val="7399049F"/>
    <w:rsid w:val="73B30D40"/>
    <w:rsid w:val="74044D71"/>
    <w:rsid w:val="742B76EE"/>
    <w:rsid w:val="748F53FE"/>
    <w:rsid w:val="74934977"/>
    <w:rsid w:val="74DB3CE6"/>
    <w:rsid w:val="74F160B9"/>
    <w:rsid w:val="752A2576"/>
    <w:rsid w:val="7567322D"/>
    <w:rsid w:val="757760DE"/>
    <w:rsid w:val="75AE0E41"/>
    <w:rsid w:val="75B23A9A"/>
    <w:rsid w:val="762420F9"/>
    <w:rsid w:val="76317817"/>
    <w:rsid w:val="76341989"/>
    <w:rsid w:val="763E26CA"/>
    <w:rsid w:val="763E2968"/>
    <w:rsid w:val="764115D4"/>
    <w:rsid w:val="76EE465E"/>
    <w:rsid w:val="772956DC"/>
    <w:rsid w:val="772A140E"/>
    <w:rsid w:val="773F135E"/>
    <w:rsid w:val="77444BC6"/>
    <w:rsid w:val="774B1AB0"/>
    <w:rsid w:val="775B051B"/>
    <w:rsid w:val="778422CE"/>
    <w:rsid w:val="7800228C"/>
    <w:rsid w:val="781B5752"/>
    <w:rsid w:val="781F6F5B"/>
    <w:rsid w:val="787B0173"/>
    <w:rsid w:val="78960235"/>
    <w:rsid w:val="78BF0096"/>
    <w:rsid w:val="79582F1B"/>
    <w:rsid w:val="797B7D3B"/>
    <w:rsid w:val="79AA4554"/>
    <w:rsid w:val="79B411FB"/>
    <w:rsid w:val="79BD42FB"/>
    <w:rsid w:val="79F326D0"/>
    <w:rsid w:val="79FD523D"/>
    <w:rsid w:val="7A163075"/>
    <w:rsid w:val="7A20580B"/>
    <w:rsid w:val="7A3E1598"/>
    <w:rsid w:val="7A4146D4"/>
    <w:rsid w:val="7A6C31B2"/>
    <w:rsid w:val="7A8D211A"/>
    <w:rsid w:val="7A9279F6"/>
    <w:rsid w:val="7AF91AC4"/>
    <w:rsid w:val="7B0C1557"/>
    <w:rsid w:val="7B380758"/>
    <w:rsid w:val="7B5E4865"/>
    <w:rsid w:val="7BBD6CF5"/>
    <w:rsid w:val="7BCD07C0"/>
    <w:rsid w:val="7BD00864"/>
    <w:rsid w:val="7BDC08DB"/>
    <w:rsid w:val="7BEA1391"/>
    <w:rsid w:val="7BF64461"/>
    <w:rsid w:val="7C0E7550"/>
    <w:rsid w:val="7C262A88"/>
    <w:rsid w:val="7C5C02BC"/>
    <w:rsid w:val="7C7B7C1A"/>
    <w:rsid w:val="7CD178B5"/>
    <w:rsid w:val="7D0A19BD"/>
    <w:rsid w:val="7DB14637"/>
    <w:rsid w:val="7E3A462D"/>
    <w:rsid w:val="7E53749D"/>
    <w:rsid w:val="7EAC62A5"/>
    <w:rsid w:val="7EB75C7D"/>
    <w:rsid w:val="7EBE700C"/>
    <w:rsid w:val="7EC84A86"/>
    <w:rsid w:val="7EF745E9"/>
    <w:rsid w:val="7EFB3DBC"/>
    <w:rsid w:val="7F0F1581"/>
    <w:rsid w:val="7F4573CD"/>
    <w:rsid w:val="7F4F23F1"/>
    <w:rsid w:val="7F5D4A77"/>
    <w:rsid w:val="7F6F12F9"/>
    <w:rsid w:val="7FC93EBA"/>
    <w:rsid w:val="7FE7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paragraph" w:styleId="2">
    <w:name w:val="heading 1"/>
    <w:basedOn w:val="1"/>
    <w:next w:val="1"/>
    <w:qFormat/>
    <w:uiPriority w:val="0"/>
    <w:pPr>
      <w:keepNext/>
      <w:keepLines/>
      <w:spacing w:beforeLines="50" w:afterLines="50"/>
      <w:ind w:firstLine="800" w:firstLineChars="200"/>
      <w:outlineLvl w:val="0"/>
    </w:pPr>
    <w:rPr>
      <w:rFonts w:ascii="Times New Roman" w:hAnsi="Times New Roman" w:eastAsia="黑体"/>
      <w:b/>
      <w:bCs/>
      <w:kern w:val="44"/>
      <w:sz w:val="30"/>
      <w:szCs w:val="44"/>
    </w:rPr>
  </w:style>
  <w:style w:type="paragraph" w:styleId="3">
    <w:name w:val="heading 2"/>
    <w:basedOn w:val="1"/>
    <w:next w:val="1"/>
    <w:unhideWhenUsed/>
    <w:qFormat/>
    <w:uiPriority w:val="0"/>
    <w:pPr>
      <w:keepNext/>
      <w:keepLines/>
      <w:ind w:firstLine="800" w:firstLineChars="200"/>
      <w:outlineLvl w:val="1"/>
    </w:pPr>
    <w:rPr>
      <w:rFonts w:ascii="Times New Roman" w:hAnsi="Times New Roman"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Times New Roman" w:hAnsi="Times New Roman" w:eastAsia="宋体"/>
      <w:kern w:val="0"/>
      <w:sz w:val="20"/>
    </w:rPr>
  </w:style>
  <w:style w:type="paragraph" w:styleId="5">
    <w:name w:val="annotation text"/>
    <w:basedOn w:val="1"/>
    <w:link w:val="20"/>
    <w:qFormat/>
    <w:uiPriority w:val="0"/>
    <w:pPr>
      <w:jc w:val="left"/>
    </w:pPr>
  </w:style>
  <w:style w:type="paragraph" w:styleId="6">
    <w:name w:val="Balloon Text"/>
    <w:basedOn w:val="1"/>
    <w:link w:val="17"/>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annotation subject"/>
    <w:basedOn w:val="5"/>
    <w:next w:val="5"/>
    <w:link w:val="21"/>
    <w:qFormat/>
    <w:uiPriority w:val="0"/>
    <w:rPr>
      <w:b/>
      <w:bCs/>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unhideWhenUsed/>
    <w:qFormat/>
    <w:uiPriority w:val="99"/>
    <w:rPr>
      <w:sz w:val="21"/>
      <w:szCs w:val="21"/>
    </w:rPr>
  </w:style>
  <w:style w:type="character" w:customStyle="1" w:styleId="17">
    <w:name w:val="批注框文本 Char"/>
    <w:basedOn w:val="14"/>
    <w:link w:val="6"/>
    <w:qFormat/>
    <w:uiPriority w:val="0"/>
    <w:rPr>
      <w:rFonts w:ascii="Calibri" w:hAnsi="Calibri" w:eastAsia="仿宋_GB2312"/>
      <w:kern w:val="2"/>
      <w:sz w:val="18"/>
      <w:szCs w:val="18"/>
    </w:rPr>
  </w:style>
  <w:style w:type="paragraph" w:customStyle="1" w:styleId="18">
    <w:name w:val="修订1"/>
    <w:hidden/>
    <w:semiHidden/>
    <w:qFormat/>
    <w:uiPriority w:val="99"/>
    <w:rPr>
      <w:rFonts w:ascii="Calibri" w:hAnsi="Calibri" w:eastAsia="仿宋_GB2312" w:cs="Times New Roman"/>
      <w:kern w:val="2"/>
      <w:sz w:val="32"/>
      <w:lang w:val="en-US" w:eastAsia="zh-CN" w:bidi="ar-SA"/>
    </w:rPr>
  </w:style>
  <w:style w:type="paragraph" w:customStyle="1" w:styleId="19">
    <w:name w:val="表内容"/>
    <w:basedOn w:val="1"/>
    <w:qFormat/>
    <w:uiPriority w:val="0"/>
    <w:pPr>
      <w:adjustRightInd w:val="0"/>
      <w:snapToGrid w:val="0"/>
      <w:spacing w:line="310" w:lineRule="atLeast"/>
      <w:jc w:val="center"/>
    </w:pPr>
    <w:rPr>
      <w:rFonts w:ascii="Times New Roman" w:hAnsi="Times New Roman" w:eastAsia="宋体"/>
      <w:sz w:val="18"/>
    </w:rPr>
  </w:style>
  <w:style w:type="character" w:customStyle="1" w:styleId="20">
    <w:name w:val="批注文字 Char"/>
    <w:basedOn w:val="14"/>
    <w:link w:val="5"/>
    <w:qFormat/>
    <w:uiPriority w:val="0"/>
    <w:rPr>
      <w:rFonts w:ascii="Calibri" w:hAnsi="Calibri" w:eastAsia="仿宋_GB2312"/>
      <w:kern w:val="2"/>
      <w:sz w:val="32"/>
    </w:rPr>
  </w:style>
  <w:style w:type="character" w:customStyle="1" w:styleId="21">
    <w:name w:val="批注主题 Char"/>
    <w:basedOn w:val="20"/>
    <w:link w:val="11"/>
    <w:qFormat/>
    <w:uiPriority w:val="0"/>
    <w:rPr>
      <w:rFonts w:ascii="Calibri" w:hAnsi="Calibri" w:eastAsia="仿宋_GB2312"/>
      <w:b/>
      <w:bCs/>
      <w:kern w:val="2"/>
      <w:sz w:val="32"/>
    </w:rPr>
  </w:style>
  <w:style w:type="paragraph" w:customStyle="1" w:styleId="22">
    <w:name w:val="修订2"/>
    <w:hidden/>
    <w:unhideWhenUsed/>
    <w:qFormat/>
    <w:uiPriority w:val="99"/>
    <w:rPr>
      <w:rFonts w:ascii="Calibri" w:hAnsi="Calibri" w:eastAsia="仿宋_GB2312" w:cs="Times New Roman"/>
      <w:kern w:val="2"/>
      <w:sz w:val="32"/>
      <w:lang w:val="en-US" w:eastAsia="zh-CN" w:bidi="ar-SA"/>
    </w:rPr>
  </w:style>
  <w:style w:type="character" w:customStyle="1" w:styleId="23">
    <w:name w:val="页眉 Char"/>
    <w:link w:val="8"/>
    <w:qFormat/>
    <w:uiPriority w:val="0"/>
    <w:rPr>
      <w:rFonts w:ascii="Calibri" w:hAnsi="Calibri" w:eastAsia="仿宋_GB2312"/>
      <w:kern w:val="2"/>
      <w:sz w:val="18"/>
    </w:rPr>
  </w:style>
  <w:style w:type="character" w:customStyle="1" w:styleId="24">
    <w:name w:val="页脚 Char"/>
    <w:basedOn w:val="14"/>
    <w:link w:val="7"/>
    <w:qFormat/>
    <w:uiPriority w:val="99"/>
    <w:rPr>
      <w:rFonts w:ascii="Calibri" w:hAnsi="Calibri" w:eastAsia="仿宋_GB2312"/>
      <w:kern w:val="2"/>
      <w:sz w:val="18"/>
    </w:rPr>
  </w:style>
  <w:style w:type="character" w:customStyle="1" w:styleId="25">
    <w:name w:val="font21"/>
    <w:basedOn w:val="14"/>
    <w:qFormat/>
    <w:uiPriority w:val="0"/>
    <w:rPr>
      <w:rFonts w:hint="eastAsia" w:ascii="宋体" w:hAnsi="宋体" w:eastAsia="宋体" w:cs="宋体"/>
      <w:b/>
      <w:bCs/>
      <w:color w:val="000000"/>
      <w:sz w:val="21"/>
      <w:szCs w:val="21"/>
      <w:u w:val="none"/>
    </w:rPr>
  </w:style>
  <w:style w:type="character" w:customStyle="1" w:styleId="26">
    <w:name w:val="font1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E53F-F015-49DD-A055-EA7DDE238C4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27</Pages>
  <Words>15607</Words>
  <Characters>16316</Characters>
  <Lines>27</Lines>
  <Paragraphs>35</Paragraphs>
  <TotalTime>0</TotalTime>
  <ScaleCrop>false</ScaleCrop>
  <LinksUpToDate>false</LinksUpToDate>
  <CharactersWithSpaces>16615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2023-07-12T09:04:00Z</dcterms:created>
  <dc:creator>66449</dc:creator>
  <cp:lastModifiedBy>Administrator</cp:lastModifiedBy>
  <cp:lastPrinted>2023-08-26T02:27:00Z</cp:lastPrinted>
  <dcterms:modified xsi:type="dcterms:W3CDTF">2023-09-21T06:55:43Z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A028C59AD49044A8AF6A883B6D3B2D29</vt:lpwstr>
  </property>
</Properties>
</file>