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pPr>
              <w:pStyle w:val="8"/>
              <w:spacing w:line="360" w:lineRule="auto"/>
              <w:rPr>
                <w:rFonts w:hint="eastAsia" w:ascii="仿宋" w:hAnsi="仿宋" w:eastAsia="仿宋" w:cs="仿宋"/>
                <w:b/>
                <w:bCs/>
                <w:color w:val="FF0000"/>
                <w:sz w:val="22"/>
                <w:szCs w:val="22"/>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top"/>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2021年度</w:t>
              <w:br w:type="textWrapping"/>
              <w:t/>
            </w:r>
            <w:r>
              <w:rPr>
                <w:rFonts w:ascii="宋体" w:hAnsi="宋体" w:cs="宋体" w:eastAsia="宋体"/>
                <w:b w:val="true"/>
                <w:sz w:val="52"/>
              </w:rPr>
              <w:t>江苏省无锡交通高等职业技术学校</w:t>
            </w:r>
            <w:r>
              <w:rPr>
                <w:rFonts w:ascii="宋体" w:hAnsi="宋体" w:cs="宋体" w:eastAsia="宋体"/>
                <w:b w:val="true"/>
                <w:sz w:val="52"/>
              </w:rPr>
              <w:t xml:space="preserve"></w:t>
              <w:br w:type="textWrapping"/>
              <w:t>单位决算公开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tabs>
          <w:tab w:val="left" w:pos="880"/>
        </w:tabs>
        <w:spacing w:line="718" w:lineRule="exact"/>
        <w:ind w:right="313" w:firstLine="0"/>
        <w:outlineLvl w:val="0"/>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spacing w:before="7" w:after="0"/>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outlineLvl w:val="0"/>
        <w:rPr>
          <w:rFonts w:hint="eastAsia" w:ascii="黑体" w:hAnsi="黑体" w:eastAsia="黑体" w:cs="黑体"/>
          <w:b w:val="0"/>
          <w:bCs w:val="0"/>
        </w:rPr>
      </w:pPr>
      <w:r>
        <w:rPr>
          <w:rFonts w:hint="eastAsia" w:ascii="黑体" w:hAnsi="黑体" w:eastAsia="黑体" w:cs="黑体"/>
          <w:b w:val="0"/>
          <w:bCs w:val="0"/>
        </w:rPr>
        <w:t xml:space="preserve">第一部分 </w:t>
      </w:r>
      <w:r>
        <w:rPr>
          <w:rFonts w:hint="eastAsia" w:ascii="黑体" w:hAnsi="黑体" w:eastAsia="黑体" w:cs="黑体"/>
          <w:b w:val="0"/>
          <w:bCs w:val="0"/>
          <w:lang w:val="en-US" w:eastAsia="zh-CN"/>
        </w:rPr>
        <w:t>单位</w:t>
      </w:r>
      <w:r>
        <w:rPr>
          <w:rFonts w:hint="eastAsia" w:ascii="黑体" w:hAnsi="黑体" w:eastAsia="黑体" w:cs="黑体"/>
          <w:b w:val="0"/>
          <w:bCs w:val="0"/>
        </w:rPr>
        <w:t>概况</w:t>
      </w:r>
    </w:p>
    <w:p>
      <w:pPr>
        <w:pStyle w:val="8"/>
        <w:keepNext w:val="0"/>
        <w:keepLines w:val="0"/>
        <w:pageBreakBefore w:val="0"/>
        <w:widowControl w:val="0"/>
        <w:tabs>
          <w:tab w:val="left" w:pos="2249"/>
        </w:tabs>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机构设置及决算单位构成情况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2021</w:t>
      </w:r>
      <w:r>
        <w:rPr>
          <w:rFonts w:hint="eastAsia" w:ascii="仿宋" w:hAnsi="仿宋" w:eastAsia="仿宋" w:cs="仿宋"/>
        </w:rPr>
        <w:t>年度主要工作完成情况</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黑体" w:hAnsi="黑体" w:eastAsia="黑体" w:cs="黑体"/>
          <w:b w:val="0"/>
          <w:bCs w:val="0"/>
        </w:rPr>
      </w:pPr>
      <w:r>
        <w:rPr>
          <w:rFonts w:hint="eastAsia" w:ascii="黑体" w:hAnsi="黑体" w:eastAsia="黑体" w:cs="黑体"/>
          <w:b w:val="0"/>
          <w:bCs w:val="0"/>
          <w:lang w:val="en-US" w:eastAsia="zh-CN"/>
        </w:rPr>
        <w:t>第二部分 2021年度</w:t>
      </w:r>
      <w:r>
        <w:rPr>
          <w:rFonts w:ascii="黑体" w:hAnsi="黑体" w:cs="黑体" w:eastAsia="黑体"/>
        </w:rPr>
        <w:t>单位</w:t>
      </w:r>
      <w:r>
        <w:rPr>
          <w:rFonts w:ascii="黑体" w:hAnsi="黑体" w:cs="黑体" w:eastAsia="黑体"/>
        </w:rPr>
        <w:t>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5774" w:hanging="11" w:firstLineChars="0"/>
        <w:jc w:val="both"/>
        <w:textAlignment w:val="auto"/>
        <w:rPr>
          <w:rFonts w:hint="eastAsia" w:ascii="仿宋" w:hAnsi="仿宋" w:eastAsia="仿宋" w:cs="仿宋"/>
        </w:rPr>
      </w:pPr>
      <w:r>
        <w:rPr>
          <w:rFonts w:hint="eastAsia" w:ascii="仿宋" w:hAnsi="仿宋" w:eastAsia="仿宋" w:cs="仿宋"/>
          <w:spacing w:val="-2"/>
        </w:rPr>
        <w:t>一、收入支出决算总表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5774" w:hanging="11" w:firstLineChars="0"/>
        <w:jc w:val="both"/>
        <w:textAlignment w:val="auto"/>
        <w:rPr>
          <w:rFonts w:hint="eastAsia" w:ascii="仿宋" w:hAnsi="仿宋" w:eastAsia="仿宋" w:cs="仿宋"/>
        </w:rPr>
      </w:pPr>
      <w:r>
        <w:rPr>
          <w:rFonts w:hint="eastAsia" w:ascii="仿宋" w:hAnsi="仿宋" w:eastAsia="仿宋" w:cs="仿宋"/>
        </w:rPr>
        <w:t>二、收入决算表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w w:val="95"/>
        </w:rPr>
        <w:t>三、支出决算表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四、财政拨款收入支出决算总表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五、财政拨款支出决算表（功能科目）</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2894" w:hanging="11" w:firstLineChars="0"/>
        <w:jc w:val="both"/>
        <w:textAlignment w:val="auto"/>
        <w:rPr>
          <w:rFonts w:hint="eastAsia" w:ascii="仿宋" w:hAnsi="仿宋" w:eastAsia="仿宋" w:cs="仿宋"/>
        </w:rPr>
      </w:pPr>
      <w:r>
        <w:rPr>
          <w:rFonts w:hint="eastAsia" w:ascii="仿宋" w:hAnsi="仿宋" w:eastAsia="仿宋" w:cs="仿宋"/>
        </w:rPr>
        <w:t>六、财政拨款基本支出决算表（经济科目） 七、一般公共预算支出决算表（功能科目）</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八、一般公共预算基本支出决算表（经济科目）</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2575" w:hanging="11" w:firstLineChars="0"/>
        <w:jc w:val="both"/>
        <w:textAlignment w:val="auto"/>
        <w:rPr>
          <w:rFonts w:hint="default" w:ascii="仿宋" w:hAnsi="仿宋" w:eastAsia="仿宋" w:cs="仿宋"/>
          <w:lang w:val="en-US" w:eastAsia="zh-CN"/>
        </w:rPr>
      </w:pPr>
      <w:r>
        <w:rPr>
          <w:rFonts w:hint="eastAsia" w:ascii="仿宋" w:hAnsi="仿宋" w:eastAsia="仿宋" w:cs="仿宋"/>
        </w:rPr>
        <w:t>十一、</w:t>
      </w:r>
      <w:r>
        <w:rPr>
          <w:rFonts w:hint="eastAsia" w:ascii="仿宋" w:hAnsi="仿宋" w:eastAsia="仿宋" w:cs="仿宋"/>
          <w:lang w:val="en-US" w:eastAsia="zh-CN"/>
        </w:rPr>
        <w:t>国有资本经营预算支出决算表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2575"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2575"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黑体" w:hAnsi="黑体" w:eastAsia="黑体" w:cs="黑体"/>
          <w:b w:val="0"/>
          <w:bCs w:val="0"/>
          <w:lang w:val="en-US" w:eastAsia="zh-CN"/>
        </w:rPr>
      </w:pPr>
      <w:r>
        <w:rPr>
          <w:rFonts w:hint="eastAsia" w:ascii="黑体" w:hAnsi="黑体" w:eastAsia="黑体" w:cs="黑体"/>
          <w:b w:val="0"/>
          <w:bCs w:val="0"/>
          <w:lang w:val="en-US" w:eastAsia="zh-CN"/>
        </w:rPr>
        <w:t>第三部分 2021年度</w:t>
      </w:r>
      <w:r>
        <w:rPr>
          <w:rFonts w:ascii="黑体" w:hAnsi="黑体" w:cs="黑体" w:eastAsia="黑体"/>
        </w:rPr>
        <w:t>单位</w:t>
      </w:r>
      <w:r>
        <w:rPr>
          <w:rFonts w:ascii="黑体" w:hAnsi="黑体" w:cs="黑体" w:eastAsia="黑体"/>
        </w:rPr>
        <w:t>决算情况说明</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default" w:ascii="仿宋" w:hAnsi="仿宋" w:eastAsia="仿宋" w:cs="仿宋"/>
          <w:b/>
          <w:bCs/>
          <w:color w:val="000000"/>
          <w:sz w:val="30"/>
          <w:szCs w:val="30"/>
          <w:lang w:val="en-US" w:eastAsia="zh-CN" w:bidi="ar"/>
        </w:rPr>
      </w:pPr>
      <w:r>
        <w:rPr>
          <w:rFonts w:hint="eastAsia" w:ascii="黑体" w:hAnsi="黑体" w:eastAsia="黑体" w:cs="黑体"/>
          <w:b w:val="0"/>
          <w:bCs w:val="0"/>
          <w:lang w:val="en-US" w:eastAsia="zh-CN"/>
        </w:rPr>
        <w:t>第四部分 名词解释</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283"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outlineLvl w:val="0"/>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eastAsia="zh-CN"/>
        </w:rPr>
        <w:t xml:space="preserve"> </w:t>
      </w:r>
      <w:r>
        <w:rPr>
          <w:rFonts w:hint="eastAsia" w:ascii="宋体" w:hAnsi="宋体" w:eastAsia="宋体" w:cs="宋体"/>
          <w:b/>
          <w:bCs/>
        </w:rPr>
        <w:t>单位</w:t>
      </w:r>
      <w:r>
        <w:rPr>
          <w:rFonts w:hint="eastAsia" w:ascii="宋体" w:hAnsi="宋体" w:eastAsia="宋体" w:cs="宋体"/>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outlineLvl w:val="1"/>
        <w:rPr>
          <w:rFonts w:hint="eastAsia" w:ascii="黑体" w:hAnsi="黑体" w:eastAsia="黑体" w:cs="黑体"/>
          <w:b w:val="0"/>
          <w:bCs w:val="0"/>
        </w:rPr>
      </w:pPr>
      <w:r>
        <w:rPr>
          <w:rFonts w:hint="eastAsia" w:ascii="黑体" w:hAnsi="黑体" w:eastAsia="黑体" w:cs="黑体"/>
          <w:b w:val="0"/>
          <w:bCs w:val="0"/>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1.承担五年制高职、中职、技工等全日制职业教育。</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2.落实好立德树人根本任务。对受教育者进行思想政治教育和职业道德教育，传授职业知识，培养职业技能，进行职业指导，全面提高受教育者的素质。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开展内河船员培训；开展初级工、中级工、高级工、技师、高级技师等培训；开展全省交通运输综合执法人员业务培训、执法能力培训、法治能力提升培训；开展全省企业事业单位岗位技能提升、工种技能鉴定等培训。</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提升职业教育现代化水平。推进学校现代化建设，打造省领航学校、现代化实训基地、现代化专业群、智慧校园，建设集实践教学、社会培训、企业真实生产和社会技术服务于一体的高水平职业教育实训基地，大幅提升新时代职业教育现代化水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5.营造良好育人环境。深入开展“劳模工匠进校园”等活动，为促进经济社会发展和提高区域竞争力提供优质人才资源支撑。</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6.推进校企深度融合。实行工学结合、校企合作、顶岗实习的人才培养模式，强化实习实训，与企业开展人才培养、技术创新、就业创业、社会服务、文化传承等方面合作。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7.加强师资队伍建设，提升教学科研水平。坚持人才强校战略，多措并举打造“双师型”教师队伍。</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构建国际化开放办学新格局。坚持把国际化融入学校人才培养、科学研究、师资队伍、专业建设以及管理服务等工作，持续推进与德国等境外院校合作与交流，开展焊接、机电、商务管理等专业国际职业资格证书衔接，拓展师生国际化视野。</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outlineLvl w:val="1"/>
        <w:rPr>
          <w:rFonts w:hint="eastAsia" w:ascii="黑体" w:hAnsi="黑体" w:eastAsia="黑体" w:cs="黑体"/>
          <w:b w:val="0"/>
          <w:bCs w:val="0"/>
        </w:rPr>
      </w:pPr>
      <w:r>
        <w:rPr>
          <w:rFonts w:hint="eastAsia" w:ascii="黑体" w:hAnsi="黑体" w:eastAsia="黑体" w:cs="黑体"/>
          <w:b w:val="0"/>
          <w:bCs w:val="0"/>
        </w:rPr>
        <w:t>二、</w:t>
      </w:r>
      <w:r>
        <w:rPr>
          <w:rFonts w:ascii="黑体" w:hAnsi="黑体" w:cs="黑体" w:eastAsia="黑体"/>
        </w:rPr>
        <w:t>单位</w:t>
      </w:r>
      <w:r>
        <w:rPr>
          <w:rFonts w:hint="eastAsia" w:ascii="黑体" w:hAnsi="黑体" w:eastAsia="黑体" w:cs="黑体"/>
          <w:b w:val="0"/>
          <w:bCs w:val="0"/>
        </w:rPr>
        <w:t>机构设置及决算单位构成情况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rPr>
      </w:pPr>
      <w:r>
        <w:rPr>
          <w:rFonts w:hint="eastAsia" w:ascii="仿宋" w:hAnsi="仿宋" w:eastAsia="仿宋" w:cs="仿宋"/>
          <w:lang w:val="en-US" w:eastAsia="zh-CN"/>
        </w:rPr>
        <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党政办公室（党委宣传部）、组织人事处（党校）、财务处（审计处）、教务处（教师教学发展中心）、学生工作处（大学生素质教育中心、大学生创新创业教育中心）、招生就业处（校友工作办公室）、安全保卫处、科技与合作处、发展规划处（教学质量管理办公室、质量体系建设办公室）、资产管理处（招标采购管理办公室）、后勤管理处（基建办）、纪委办公室（监察处）、团委（团校）、工会（离退休工作办公室、医疗管理办公室与工会合署办公）、船舶工程学院、机械工程学院、机电工程学院、汽车工程学院、交通工程学院、信息管理学院、物流管理学院、基础教学部（马克思主义学院）、继续教育学院（国际教育交流中心）、图文信息中心（图书馆、信息化建设办公室）、锡澄校区管理办公室。</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outlineLvl w:val="1"/>
        <w:rPr>
          <w:rFonts w:hint="eastAsia" w:ascii="黑体" w:hAnsi="黑体" w:eastAsia="黑体" w:cs="黑体"/>
          <w:b w:val="0"/>
          <w:bCs w:val="0"/>
        </w:rPr>
      </w:pPr>
      <w:r>
        <w:rPr>
          <w:rFonts w:hint="eastAsia" w:ascii="黑体" w:hAnsi="黑体" w:eastAsia="黑体" w:cs="黑体"/>
          <w:b w:val="0"/>
          <w:bCs w:val="0"/>
        </w:rPr>
        <w:t>三、</w:t>
      </w:r>
      <w:r>
        <w:rPr>
          <w:rFonts w:hint="eastAsia" w:ascii="黑体" w:hAnsi="黑体" w:eastAsia="黑体" w:cs="黑体"/>
          <w:b w:val="0"/>
          <w:bCs w:val="0"/>
          <w:lang w:eastAsia="zh-CN"/>
        </w:rPr>
        <w:t>2021</w:t>
      </w:r>
      <w:r>
        <w:rPr>
          <w:rFonts w:hint="eastAsia" w:ascii="黑体" w:hAnsi="黑体" w:eastAsia="黑体" w:cs="黑体"/>
          <w:b w:val="0"/>
          <w:bCs w:val="0"/>
        </w:rPr>
        <w:t>年度主要工作完成情况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党史学习教育扎实推进。严格按照部署要求，在全校党员中深入开展党史学习教育，“七一”前后，组织举办中国共产党的光辉历程展暨“红船”模型、学校“十三五”发展成果展，承办了“厅属院校庆祝中国共产党成立100周年文艺展演”。学校创作的音诗画作品《永生》，多次在交通运输行业、职业教育系统汇报演出，获得广泛好评，成为学校文化建设的品牌。组织全体师生收听收看习近平总书记“七一”讲话，深入组织学习讲话精神，在广大师生中开展“四史”宣传教育。认真开展为民办实事行动，引进社会资金300多万元投资建设校园书店，为师生提供一个集阅览、自习、休闲、沙龙为一体的文化综合体。学校两批20项办实事项目已基本完成。</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厅市共建不断深化。在厅领导亲自推动下，组织开展了厅市会商，就厅市合作达成共识。学校升格已纳入厅职业教育发展专项规划和无锡市教育规划，并将列入省“十四五”高校设置规划，学校按照高职院发展定位组织编制了学校“十四五”发展规划。</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省领航学校建设有序推进。根据省领航学校建设方案，突出重点、难点，加大工作力度，完成了一批建设任务，成效显著。开展“课堂教学质量提升年”活动，全校领导和老师共听课924人次，听课覆盖率100%，提高课堂教学质量。加大教科研活动组织力度，11个教学团队入围省教学大赛，获一等奖1个，二、三等奖6个，实现省赛突破。4个教学成果参加江苏省教学成果奖的评审，9个项目入选无锡市职业教育质量提升攀登计划。吴志亚教授主编教材《走进焊接》，获首届全国优秀教材评选一等奖。推进智慧校园建设，完成学校云桌面机房和数据容灾备份平台建设，建成学校OA系统和智慧安全技防系统。</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实训基地建设加快推进。完成交通装备工业机器人实训基地、城市轨道交通运营管理综合实训基地（一期）建设任务，建成江苏省交通运输行业船文化中心、新能源汽车充放电实训室，完成航海模拟器实训基地更新改造等5个项目建设。启动“1+X”物联网实训室、商务管理实训室建设工作。完成空中乘务实训基地建设方案。全年实训基地建设总投资超过1700万元。</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产教融合不断深入。出台学校深化校企合作工作制度，完成了无锡焊接职教集团的换届工作，由原船舶行业焊接拓展到智能制造领域，成员单位增加至140余家。加大产教融合校企合作工作力度，与约克（无锡）空调冷冻设备有限公司等18家公司开展现代学徒制、企业新型学徒制合作，完成新型学徒制培训200余人次。与江苏长博集团等公司开展订单培养。与无锡贝斯特精机股份有限公司成立贝斯特智能制造产业学院，与无锡交建集团成立江苏交通工程试验检测技术研究中心，与苏州棕榈湾文旅发展有限公司成立“棕榈湾游艇学院”，合作企业数达200余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招生就业不断提升。今年招生2102人，完成招生计划103%，五年制高职招生人数首次突破1000人。无锡地区五年制高职录取均分，较去年上升7.75分，生源质量明显提升。学校加强毕业生就业工作，2021届毕业生就业率达98%以上，高职毕业生一次性就业率达94.5%以上，协议就业率达90%以上，获评无锡市职业教育就业创业成效突出学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社会服务不断拓展。把服务交通行业作为社会服务的重点，首次承办交通运输行业安全培训工作，完成宿迁、太仓交通运输安全生产管理培训、无锡市机动车维修行业污染综合治理暨安全生产专题培训共计260余人次。完成内河船员基本安全、适任证书实操、客船特培和游艇培训共455人。与苏交科集团合作开展江苏内河港口船舶充电站技术要求研究，已完成成果验收工作。利用专业优势组织创业培训、物流安全管理员特殊培训等培训达1400余人次。承担社会化考试的组织工作，先后完成各类社会化考试10600余人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党建引领不断深化。扎实开展“两在两同”建新功行动，全校基层党组织和广大党员干部职工在防疫防汛防台发挥积极作用，完成了疫情期间全校师生正常返校任务。暑期组织对1156名12-17岁学生的疫苗接种工作，98名党员志愿者冲锋在前，让党旗在防控疫情斗争第一线高高飘扬。积极推动政行校企协同育人，学校党委与无锡市交通局党委、驻地部队党委，二级党总支和地方街道、社区、企业开展系列党建共建活动，加强干部人才队伍建设，开展暑期中层干部培训和班主任、辅导员能力培训300余人次。完成学校2020年公开招聘13名教师入职工作，学校硕士博士学历增至185人，占专任教师总数63%。召开党风廉政建设专题汇报会和学校党风廉政建设暨师德师风建设工作会议，对5个二级学院开展校内督查，组织“学党史党纪创廉洁机关”主题专项活动。全面落实意识形态工作责任制，推进思政课改革创新，加强课程思政建设，组织开展2021年课程思政优秀案例、课程思政示范课、课程思政优秀教学团队的评选。加强新闻宣传工作，在学习强国江苏学习平台、江苏省交通运输厅官网、无锡发布等主流媒体和平台发布信息和视频作品近百篇。</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283"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outlineLvl w:val="0"/>
        <w:rPr>
          <w:rFonts w:hint="eastAsia" w:ascii="宋体" w:hAnsi="宋体" w:eastAsia="宋体" w:cs="宋体"/>
          <w:b/>
          <w:bCs/>
          <w:sz w:val="36"/>
          <w:szCs w:val="36"/>
          <w:lang w:val="en-US" w:eastAsia="zh-CN"/>
        </w:rPr>
      </w:pPr>
      <w:r>
        <w:rPr>
          <w:rFonts w:hint="eastAsia" w:ascii="宋体" w:hAnsi="宋体" w:eastAsia="宋体" w:cs="宋体"/>
          <w:b/>
          <w:bCs/>
          <w:sz w:val="36"/>
          <w:szCs w:val="36"/>
        </w:rPr>
        <w:t>第二部分</w:t>
      </w:r>
    </w:p>
    <w:p>
      <w:pPr>
        <w:pStyle w:val="21"/>
        <w:widowControl w:val="0"/>
        <w:tabs>
          <w:tab w:val="left" w:pos="1609"/>
        </w:tabs>
        <w:suppressAutoHyphens/>
        <w:bidi w:val="0"/>
        <w:spacing w:before="12" w:after="0"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u w:val="none"/>
        </w:rPr>
        <w:t>江苏省无锡交通高等职业技术学校</w:t>
      </w:r>
    </w:p>
    <w:p>
      <w:pPr>
        <w:pStyle w:val="21"/>
        <w:widowControl w:val="0"/>
        <w:tabs>
          <w:tab w:val="left" w:pos="1609"/>
        </w:tabs>
        <w:suppressAutoHyphens/>
        <w:bidi w:val="0"/>
        <w:spacing w:before="12" w:after="0"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2021</w:t>
      </w:r>
      <w:r>
        <w:rPr>
          <w:rFonts w:hint="eastAsia" w:ascii="宋体" w:hAnsi="宋体" w:eastAsia="宋体" w:cs="宋体"/>
          <w:b/>
          <w:bCs/>
          <w:sz w:val="36"/>
          <w:szCs w:val="36"/>
        </w:rPr>
        <w:t>年度</w:t>
      </w:r>
      <w:r>
        <w:rPr>
          <w:rFonts w:hint="eastAsia" w:ascii="宋体" w:hAnsi="宋体" w:eastAsia="宋体" w:cs="宋体"/>
          <w:b/>
          <w:bCs/>
          <w:sz w:val="36"/>
          <w:szCs w:val="36"/>
          <w:lang w:val="en-US" w:eastAsia="zh-CN"/>
        </w:rPr>
        <w:t>单位</w:t>
      </w:r>
      <w:r>
        <w:rPr>
          <w:rFonts w:ascii="宋体" w:hAnsi="宋体" w:cs="宋体" w:eastAsia="宋体"/>
          <w:b w:val="true"/>
          <w:sz w:val="36"/>
        </w:rPr>
        <w:t>决算表</w:t>
      </w:r>
    </w:p>
    <w:tbl>
      <w:tblPr>
        <w:tblStyle w:val="12"/>
        <w:tblW w:w="10447" w:type="dxa"/>
        <w:jc w:val="center"/>
        <w:tblLayout w:type="fixed"/>
        <w:tblCellMar>
          <w:top w:w="0" w:type="dxa"/>
          <w:left w:w="108" w:type="dxa"/>
          <w:bottom w:w="0" w:type="dxa"/>
          <w:right w:w="108" w:type="dxa"/>
        </w:tblCellMar>
      </w:tblPr>
      <w:tblGrid>
        <w:gridCol w:w="3784"/>
        <w:gridCol w:w="1461"/>
        <w:gridCol w:w="2035"/>
        <w:gridCol w:w="1709"/>
        <w:gridCol w:w="1458"/>
      </w:tblGrid>
      <w:tr>
        <w:tblPrEx>
          <w:tblCellMar>
            <w:top w:w="0" w:type="dxa"/>
            <w:left w:w="108" w:type="dxa"/>
            <w:bottom w:w="0" w:type="dxa"/>
            <w:right w:w="108" w:type="dxa"/>
          </w:tblCellMar>
        </w:tblPrEx>
        <w:trPr>
          <w:trHeight w:val="544" w:hRule="atLeast"/>
          <w:jc w:val="center"/>
        </w:trPr>
        <w:tc>
          <w:tcPr>
            <w:tcW w:w="10447" w:type="dxa"/>
            <w:gridSpan w:val="5"/>
          </w:tcPr>
          <w:p>
            <w:pPr>
              <w:pageBreakBefore/>
              <w:widowControl w:val="0"/>
              <w:ind w:left="0" w:right="0" w:firstLine="0"/>
              <w:jc w:val="center"/>
              <w:textAlignment w:val="auto"/>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tblPrEx>
          <w:tblCellMar>
            <w:top w:w="0" w:type="dxa"/>
            <w:left w:w="108" w:type="dxa"/>
            <w:bottom w:w="0" w:type="dxa"/>
            <w:right w:w="108" w:type="dxa"/>
          </w:tblCellMar>
        </w:tblPrEx>
        <w:trPr>
          <w:trHeight w:val="348" w:hRule="atLeast"/>
          <w:jc w:val="center"/>
        </w:trPr>
        <w:tc>
          <w:tcPr>
            <w:tcW w:w="3784" w:type="dxa"/>
          </w:tcPr>
          <w:p>
            <w:pPr>
              <w:widowControl w:val="0"/>
              <w:ind w:left="0" w:right="0" w:firstLine="0"/>
              <w:jc w:val="left"/>
              <w:textAlignment w:val="auto"/>
              <w:rPr>
                <w:rFonts w:hint="eastAsia" w:ascii="仿宋" w:hAnsi="仿宋" w:eastAsia="仿宋" w:cs="仿宋"/>
                <w:color w:val="000000"/>
                <w:sz w:val="20"/>
              </w:rPr>
            </w:pPr>
          </w:p>
        </w:tc>
        <w:tc>
          <w:tcPr>
            <w:tcW w:w="1461" w:type="dxa"/>
          </w:tcPr>
          <w:p>
            <w:pPr>
              <w:widowControl w:val="0"/>
              <w:ind w:left="0" w:right="0" w:firstLine="0"/>
              <w:jc w:val="left"/>
              <w:textAlignment w:val="auto"/>
              <w:rPr>
                <w:rFonts w:hint="eastAsia" w:ascii="仿宋" w:hAnsi="仿宋" w:eastAsia="仿宋" w:cs="仿宋"/>
                <w:color w:val="000000"/>
                <w:sz w:val="20"/>
              </w:rPr>
            </w:pPr>
          </w:p>
        </w:tc>
        <w:tc>
          <w:tcPr>
            <w:tcW w:w="5202" w:type="dxa"/>
            <w:gridSpan w:val="3"/>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名称：</w:t>
            </w:r>
            <w:r>
              <w:rPr>
                <w:rFonts w:hint="eastAsia" w:ascii="仿宋" w:hAnsi="仿宋" w:eastAsia="仿宋" w:cs="仿宋"/>
                <w:color w:val="000000"/>
                <w:sz w:val="22"/>
                <w:szCs w:val="22"/>
                <w:lang w:eastAsia="ar-SA"/>
              </w:rPr>
              <w:t>江苏省无锡交通高等职业技术学校</w:t>
            </w:r>
          </w:p>
        </w:tc>
        <w:tc>
          <w:tcPr>
            <w:tcW w:w="3167"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rPr>
              <w:t>金额单位：万元</w:t>
            </w:r>
          </w:p>
        </w:tc>
      </w:tr>
      <w:tr>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支出</w:t>
            </w:r>
          </w:p>
        </w:tc>
      </w:tr>
      <w:tr>
        <w:tblPrEx>
          <w:tblCellMar>
            <w:top w:w="0" w:type="dxa"/>
            <w:left w:w="108" w:type="dxa"/>
            <w:bottom w:w="0" w:type="dxa"/>
            <w:right w:w="108" w:type="dxa"/>
          </w:tblCellMar>
        </w:tblPrEx>
        <w:trPr>
          <w:trHeight w:val="39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ascii="仿宋" w:hAnsi="仿宋" w:cs="仿宋" w:eastAsia="仿宋"/>
                <w:color w:val="000000"/>
                <w:sz w:val="22"/>
              </w:rPr>
              <w:t>项目</w:t>
            </w:r>
          </w:p>
        </w:tc>
        <w:tc>
          <w:tcPr>
            <w:tcW w:w="146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决算数</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按功能分类</w:t>
            </w:r>
          </w:p>
        </w:tc>
        <w:tc>
          <w:tcPr>
            <w:tcW w:w="145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决算数</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10,453.59</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四、上级补助收入</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2,350.00</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12,073.22</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六、经营收入</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七、附属单位上缴收入</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八、其他收入</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348.62</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990.00</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九、卫生健康支出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十、节能环保支出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十一、城乡社区支出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十二、农林水支出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十三、交通运输支出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273.77</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十四、资源勘探工业信息等支出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十五、商业服务业等支出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十六、金融支出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十七、援助其他地区支出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十八、自然资源海洋气象等支出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十九、住房保障支出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1,535.49</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二十、粮油物资储备支出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二十一、国有资本经营预算支出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二十二、灾害防治及应急管理支出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二十三、其他支出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二十四、债务还本支出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二十五、债务付息支出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二十六、抗疫特别国债安排的支出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454" w:hRule="exac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46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13,152.21</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45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14,872.48</w:t>
            </w:r>
          </w:p>
        </w:tc>
      </w:tr>
      <w:tr>
        <w:tblPrEx>
          <w:tblCellMar>
            <w:top w:w="0" w:type="dxa"/>
            <w:left w:w="108" w:type="dxa"/>
            <w:bottom w:w="0" w:type="dxa"/>
            <w:right w:w="108" w:type="dxa"/>
          </w:tblCellMar>
        </w:tblPrEx>
        <w:trPr>
          <w:trHeight w:val="413"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ind w:right="0" w:firstLine="220" w:firstLineChars="10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使用非财政拨款结余</w:t>
            </w:r>
          </w:p>
        </w:tc>
        <w:tc>
          <w:tcPr>
            <w:tcW w:w="146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right="0" w:firstLine="220" w:firstLineChars="10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结余分配</w:t>
            </w:r>
          </w:p>
        </w:tc>
        <w:tc>
          <w:tcPr>
            <w:tcW w:w="145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r>
      <w:tr>
        <w:tblPrEx>
          <w:tblCellMar>
            <w:top w:w="0" w:type="dxa"/>
            <w:left w:w="108" w:type="dxa"/>
            <w:bottom w:w="0" w:type="dxa"/>
            <w:right w:w="108" w:type="dxa"/>
          </w:tblCellMar>
        </w:tblPrEx>
        <w:trPr>
          <w:trHeight w:val="413"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ind w:right="0" w:firstLine="220" w:firstLineChars="10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年初结转和结余</w:t>
            </w:r>
          </w:p>
        </w:tc>
        <w:tc>
          <w:tcPr>
            <w:tcW w:w="146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1,783.91</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right="0" w:firstLine="220" w:firstLineChars="10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年末结转和结余</w:t>
            </w:r>
          </w:p>
        </w:tc>
        <w:tc>
          <w:tcPr>
            <w:tcW w:w="145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63.64</w:t>
            </w:r>
          </w:p>
        </w:tc>
      </w:tr>
      <w:tr>
        <w:tblPrEx>
          <w:tblCellMar>
            <w:top w:w="0" w:type="dxa"/>
            <w:left w:w="108" w:type="dxa"/>
            <w:bottom w:w="0" w:type="dxa"/>
            <w:right w:w="108" w:type="dxa"/>
          </w:tblCellMar>
        </w:tblPrEx>
        <w:trPr>
          <w:trHeight w:val="383" w:hRule="atLeast"/>
          <w:jc w:val="center"/>
        </w:trPr>
        <w:tc>
          <w:tcPr>
            <w:tcW w:w="3784" w:type="dxa"/>
            <w:tcBorders>
              <w:top w:val="single" w:color="000000" w:sz="4" w:space="0"/>
              <w:left w:val="single" w:color="000000" w:sz="4" w:space="0"/>
              <w:bottom w:val="single" w:color="000000" w:sz="4" w:space="0"/>
              <w:right w:val="single" w:color="000000" w:sz="4" w:space="0"/>
            </w:tcBorders>
          </w:tcPr>
          <w:p>
            <w:pPr>
              <w:widowControl w:val="0"/>
              <w:jc w:val="left"/>
              <w:rPr>
                <w:rFonts w:hint="eastAsia" w:ascii="仿宋" w:hAnsi="仿宋" w:eastAsia="仿宋" w:cs="仿宋"/>
                <w:color w:val="000000"/>
                <w:sz w:val="22"/>
                <w:szCs w:val="22"/>
              </w:rPr>
            </w:pPr>
          </w:p>
        </w:tc>
        <w:tc>
          <w:tcPr>
            <w:tcW w:w="1461" w:type="dxa"/>
            <w:tcBorders>
              <w:top w:val="single" w:color="000000" w:sz="4" w:space="0"/>
              <w:left w:val="single" w:color="000000" w:sz="4" w:space="0"/>
              <w:bottom w:val="single" w:color="000000" w:sz="4" w:space="0"/>
              <w:right w:val="single" w:color="000000" w:sz="4" w:space="0"/>
            </w:tcBorders>
          </w:tcPr>
          <w:p>
            <w:pPr>
              <w:widowControl w:val="0"/>
              <w:jc w:val="left"/>
              <w:rPr>
                <w:rFonts w:hint="eastAsia" w:ascii="仿宋" w:hAnsi="仿宋" w:eastAsia="仿宋" w:cs="仿宋"/>
                <w:color w:val="000000"/>
                <w:sz w:val="22"/>
                <w:szCs w:val="22"/>
              </w:rPr>
            </w:pPr>
          </w:p>
        </w:tc>
        <w:tc>
          <w:tcPr>
            <w:tcW w:w="3744" w:type="dxa"/>
            <w:gridSpan w:val="2"/>
            <w:tcBorders>
              <w:top w:val="single" w:color="000000" w:sz="4" w:space="0"/>
              <w:left w:val="single" w:color="000000" w:sz="4" w:space="0"/>
              <w:bottom w:val="single" w:color="000000" w:sz="4" w:space="0"/>
              <w:right w:val="single" w:color="000000" w:sz="4" w:space="0"/>
            </w:tcBorders>
          </w:tcPr>
          <w:p>
            <w:pPr>
              <w:widowControl w:val="0"/>
              <w:jc w:val="left"/>
              <w:rPr>
                <w:rFonts w:hint="eastAsia" w:ascii="仿宋" w:hAnsi="仿宋" w:eastAsia="仿宋" w:cs="仿宋"/>
                <w:color w:val="000000"/>
                <w:sz w:val="22"/>
                <w:szCs w:val="22"/>
              </w:rPr>
            </w:pPr>
          </w:p>
        </w:tc>
        <w:tc>
          <w:tcPr>
            <w:tcW w:w="1458" w:type="dxa"/>
            <w:tcBorders>
              <w:top w:val="single" w:color="000000" w:sz="4" w:space="0"/>
              <w:left w:val="single" w:color="000000" w:sz="4" w:space="0"/>
              <w:bottom w:val="single" w:color="000000" w:sz="4" w:space="0"/>
              <w:right w:val="single" w:color="000000" w:sz="4" w:space="0"/>
            </w:tcBorders>
          </w:tcPr>
          <w:p>
            <w:pPr>
              <w:widowControl w:val="0"/>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cantSplit/>
          <w:trHeight w:val="454" w:hRule="exac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eastAsia="ar-SA"/>
              </w:rPr>
              <w:t>总计</w:t>
            </w:r>
          </w:p>
        </w:tc>
        <w:tc>
          <w:tcPr>
            <w:tcW w:w="146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14,936.12</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eastAsia="ar-SA"/>
              </w:rPr>
              <w:t>总计</w:t>
            </w:r>
          </w:p>
        </w:tc>
        <w:tc>
          <w:tcPr>
            <w:tcW w:w="145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14,936.12</w:t>
            </w:r>
          </w:p>
        </w:tc>
      </w:tr>
    </w:tbl>
    <w:p>
      <w:pPr>
        <w:widowControl w:val="0"/>
        <w:suppressAutoHyphens/>
        <w:bidi w:val="0"/>
        <w:spacing w:before="66" w:after="0"/>
        <w:ind w:left="0" w:leftChars="0" w:right="0" w:rightChars="0" w:firstLine="0" w:firstLineChars="0"/>
        <w:jc w:val="both"/>
        <w:rPr>
          <w:rFonts w:hint="eastAsia" w:ascii="仿宋" w:hAnsi="仿宋" w:eastAsia="仿宋" w:cs="仿宋"/>
          <w:b w:val="0"/>
          <w:bCs w:val="0"/>
          <w:color w:val="000000"/>
          <w:sz w:val="22"/>
          <w:szCs w:val="22"/>
          <w:lang w:val="en-US" w:eastAsia="zh-CN"/>
        </w:rPr>
      </w:pPr>
      <w:r>
        <w:rPr>
          <w:rFonts w:hint="eastAsia" w:ascii="仿宋" w:hAnsi="仿宋" w:eastAsia="仿宋" w:cs="仿宋"/>
          <w:b w:val="0"/>
          <w:bCs w:val="0"/>
          <w:color w:val="000000"/>
          <w:sz w:val="22"/>
          <w:szCs w:val="22"/>
          <w:lang w:val="en-US" w:eastAsia="zh-CN"/>
        </w:rPr>
        <w:t>注：本表反映本年度的总收支和年末结转结余情况。</w:t>
      </w:r>
      <w:r>
        <w:rPr>
          <w:rFonts w:hint="eastAsia" w:ascii="仿宋" w:hAnsi="仿宋" w:eastAsia="仿宋" w:cs="仿宋"/>
          <w:b w:val="0"/>
          <w:bCs w:val="0"/>
          <w:sz w:val="22"/>
          <w:szCs w:val="22"/>
          <w:lang w:val="en-US" w:eastAsia="zh-CN"/>
        </w:rPr>
        <w:t/>
      </w:r>
      <w:r>
        <w:rPr>
          <w:rFonts w:hint="eastAsia" w:ascii="仿宋" w:hAnsi="仿宋" w:eastAsia="仿宋" w:cs="仿宋"/>
          <w:b w:val="0"/>
          <w:bCs w:val="0"/>
          <w:color w:val="000000"/>
          <w:sz w:val="22"/>
          <w:szCs w:val="22"/>
          <w:lang w:val="en-US" w:eastAsia="zh-CN"/>
        </w:rPr>
        <w:t>本表金额单位转换时可能存在尾数误差。</w:t>
      </w:r>
      <w:r>
        <w:rPr>
          <w:rFonts w:hint="eastAsia" w:ascii="仿宋" w:hAnsi="仿宋" w:eastAsia="仿宋" w:cs="仿宋"/>
          <w:b w:val="0"/>
          <w:bCs w:val="0"/>
          <w:sz w:val="22"/>
          <w:szCs w:val="22"/>
          <w:lang w:val="en-US" w:eastAsia="zh-CN"/>
        </w:rPr>
        <w:t/>
      </w:r>
    </w:p>
    <w:p>
      <w:pPr>
        <w:widowControl w:val="0"/>
        <w:suppressAutoHyphens/>
        <w:bidi w:val="0"/>
        <w:spacing w:before="66" w:after="0"/>
        <w:ind w:right="0"/>
        <w:jc w:val="both"/>
        <w:rPr>
          <w:rFonts w:hint="eastAsia" w:ascii="仿宋" w:hAnsi="仿宋" w:eastAsia="仿宋" w:cs="仿宋"/>
          <w:b w:val="0"/>
          <w:bCs w:val="0"/>
          <w:color w:val="000000"/>
          <w:sz w:val="22"/>
          <w:szCs w:val="22"/>
        </w:rPr>
        <w:sectPr>
          <w:footerReference r:id="rId8"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439" w:type="dxa"/>
        <w:jc w:val="center"/>
        <w:tblLayout w:type="fixed"/>
        <w:tblCellMar>
          <w:top w:w="0" w:type="dxa"/>
          <w:left w:w="108" w:type="dxa"/>
          <w:bottom w:w="0" w:type="dxa"/>
          <w:right w:w="108" w:type="dxa"/>
        </w:tblCellMar>
      </w:tblPr>
      <w:tblGrid>
        <w:gridCol w:w="1115"/>
        <w:gridCol w:w="2925"/>
        <w:gridCol w:w="1592"/>
        <w:gridCol w:w="1604"/>
        <w:gridCol w:w="1565"/>
        <w:gridCol w:w="1396"/>
        <w:gridCol w:w="1578"/>
        <w:gridCol w:w="1174"/>
        <w:gridCol w:w="1277"/>
        <w:gridCol w:w="1213"/>
      </w:tblGrid>
      <w:tr>
        <w:tblPrEx>
          <w:tblCellMar>
            <w:top w:w="0" w:type="dxa"/>
            <w:left w:w="108" w:type="dxa"/>
            <w:bottom w:w="0" w:type="dxa"/>
            <w:right w:w="108" w:type="dxa"/>
          </w:tblCellMar>
        </w:tblPrEx>
        <w:trPr>
          <w:trHeight w:val="627" w:hRule="atLeast"/>
          <w:jc w:val="center"/>
        </w:trPr>
        <w:tc>
          <w:tcPr>
            <w:tcW w:w="15439" w:type="dxa"/>
            <w:gridSpan w:val="10"/>
            <w:vAlign w:val="center"/>
          </w:tcPr>
          <w:p>
            <w:pPr>
              <w:pStyle w:val="5"/>
              <w:widowControl w:val="0"/>
              <w:rPr>
                <w:rFonts w:hint="eastAsia" w:ascii="仿宋" w:hAnsi="仿宋" w:eastAsia="仿宋" w:cs="仿宋"/>
                <w:b/>
                <w:bCs/>
                <w:sz w:val="44"/>
                <w:szCs w:val="44"/>
                <w:lang w:val="en-US" w:eastAsia="zh-CN"/>
              </w:rPr>
            </w:pPr>
            <w:r>
              <w:rPr>
                <w:rFonts w:hint="eastAsia" w:ascii="宋体" w:hAnsi="宋体" w:eastAsia="宋体" w:cs="宋体"/>
                <w:b/>
                <w:bCs/>
                <w:color w:val="000000"/>
                <w:kern w:val="0"/>
                <w:sz w:val="36"/>
                <w:szCs w:val="36"/>
                <w:lang w:val="zh-CN" w:eastAsia="ar-SA" w:bidi="zh-CN"/>
              </w:rPr>
              <w:t>收入决算表</w:t>
            </w:r>
          </w:p>
        </w:tc>
      </w:tr>
      <w:tr>
        <w:tblPrEx>
          <w:tblCellMar>
            <w:top w:w="0" w:type="dxa"/>
            <w:left w:w="108" w:type="dxa"/>
            <w:bottom w:w="0" w:type="dxa"/>
            <w:right w:w="108" w:type="dxa"/>
          </w:tblCellMar>
        </w:tblPrEx>
        <w:trPr>
          <w:trHeight w:val="314" w:hRule="atLeast"/>
          <w:jc w:val="center"/>
        </w:trPr>
        <w:tc>
          <w:tcPr>
            <w:tcW w:w="4040" w:type="dxa"/>
            <w:gridSpan w:val="2"/>
            <w:vAlign w:val="center"/>
          </w:tcPr>
          <w:p>
            <w:pPr>
              <w:pStyle w:val="22"/>
              <w:widowControl w:val="0"/>
              <w:jc w:val="center"/>
              <w:rPr>
                <w:rFonts w:hint="eastAsia" w:ascii="仿宋" w:hAnsi="仿宋" w:eastAsia="仿宋" w:cs="仿宋"/>
              </w:rPr>
            </w:pPr>
          </w:p>
        </w:tc>
        <w:tc>
          <w:tcPr>
            <w:tcW w:w="1592" w:type="dxa"/>
            <w:vAlign w:val="center"/>
          </w:tcPr>
          <w:p>
            <w:pPr>
              <w:pStyle w:val="22"/>
              <w:widowControl w:val="0"/>
              <w:jc w:val="center"/>
              <w:rPr>
                <w:rFonts w:hint="eastAsia" w:ascii="仿宋" w:hAnsi="仿宋" w:eastAsia="仿宋" w:cs="仿宋"/>
              </w:rPr>
            </w:pPr>
          </w:p>
        </w:tc>
        <w:tc>
          <w:tcPr>
            <w:tcW w:w="1604" w:type="dxa"/>
            <w:vAlign w:val="center"/>
          </w:tcPr>
          <w:p>
            <w:pPr>
              <w:pStyle w:val="22"/>
              <w:widowControl w:val="0"/>
              <w:jc w:val="center"/>
              <w:rPr>
                <w:rFonts w:hint="eastAsia" w:ascii="仿宋" w:hAnsi="仿宋" w:eastAsia="仿宋" w:cs="仿宋"/>
              </w:rPr>
            </w:pPr>
          </w:p>
        </w:tc>
        <w:tc>
          <w:tcPr>
            <w:tcW w:w="1565" w:type="dxa"/>
            <w:vAlign w:val="center"/>
          </w:tcPr>
          <w:p>
            <w:pPr>
              <w:pStyle w:val="22"/>
              <w:widowControl w:val="0"/>
              <w:jc w:val="center"/>
              <w:rPr>
                <w:rFonts w:hint="eastAsia" w:ascii="仿宋" w:hAnsi="仿宋" w:eastAsia="仿宋" w:cs="仿宋"/>
              </w:rPr>
            </w:pPr>
          </w:p>
        </w:tc>
        <w:tc>
          <w:tcPr>
            <w:tcW w:w="2974" w:type="dxa"/>
            <w:gridSpan w:val="2"/>
            <w:vAlign w:val="center"/>
          </w:tcPr>
          <w:p>
            <w:pPr>
              <w:pStyle w:val="22"/>
              <w:widowControl w:val="0"/>
              <w:jc w:val="center"/>
              <w:rPr>
                <w:rFonts w:hint="eastAsia" w:ascii="仿宋" w:hAnsi="仿宋" w:eastAsia="仿宋" w:cs="仿宋"/>
              </w:rPr>
            </w:pPr>
          </w:p>
        </w:tc>
        <w:tc>
          <w:tcPr>
            <w:tcW w:w="1174" w:type="dxa"/>
            <w:vAlign w:val="center"/>
          </w:tcPr>
          <w:p>
            <w:pPr>
              <w:pStyle w:val="22"/>
              <w:widowControl w:val="0"/>
              <w:jc w:val="center"/>
              <w:rPr>
                <w:rFonts w:hint="eastAsia" w:ascii="仿宋" w:hAnsi="仿宋" w:eastAsia="仿宋" w:cs="仿宋"/>
              </w:rPr>
            </w:pPr>
          </w:p>
        </w:tc>
        <w:tc>
          <w:tcPr>
            <w:tcW w:w="2490" w:type="dxa"/>
            <w:gridSpan w:val="2"/>
            <w:vAlign w:val="center"/>
          </w:tcPr>
          <w:p>
            <w:pPr>
              <w:pStyle w:val="22"/>
              <w:widowControl w:val="0"/>
              <w:jc w:val="right"/>
              <w:rPr>
                <w:rFonts w:hint="eastAsia" w:ascii="仿宋" w:hAnsi="仿宋" w:eastAsia="仿宋" w:cs="仿宋"/>
              </w:rPr>
            </w:pPr>
            <w:r>
              <w:rPr>
                <w:rFonts w:hint="eastAsia" w:ascii="仿宋" w:hAnsi="仿宋" w:eastAsia="仿宋" w:cs="仿宋"/>
              </w:rPr>
              <w:t>公开02表</w:t>
            </w:r>
          </w:p>
        </w:tc>
      </w:tr>
      <w:tr>
        <w:tblPrEx>
          <w:tblCellMar>
            <w:top w:w="0" w:type="dxa"/>
            <w:left w:w="108" w:type="dxa"/>
            <w:bottom w:w="0" w:type="dxa"/>
            <w:right w:w="108" w:type="dxa"/>
          </w:tblCellMar>
        </w:tblPrEx>
        <w:trPr>
          <w:trHeight w:val="376" w:hRule="atLeast"/>
          <w:jc w:val="center"/>
        </w:trPr>
        <w:tc>
          <w:tcPr>
            <w:tcW w:w="12949" w:type="dxa"/>
            <w:gridSpan w:val="8"/>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名称：</w:t>
            </w:r>
            <w:r>
              <w:rPr>
                <w:rFonts w:hint="eastAsia" w:ascii="仿宋" w:hAnsi="仿宋" w:eastAsia="仿宋" w:cs="仿宋"/>
              </w:rPr>
              <w:t>江苏省无锡交通高等职业技术学校</w:t>
            </w:r>
          </w:p>
        </w:tc>
        <w:tc>
          <w:tcPr>
            <w:tcW w:w="2490" w:type="dxa"/>
            <w:gridSpan w:val="2"/>
            <w:vAlign w:val="center"/>
          </w:tcPr>
          <w:p>
            <w:pPr>
              <w:pStyle w:val="22"/>
              <w:widowControl w:val="0"/>
              <w:jc w:val="right"/>
              <w:rPr>
                <w:rFonts w:hint="eastAsia" w:ascii="仿宋" w:hAnsi="仿宋" w:eastAsia="仿宋" w:cs="仿宋"/>
              </w:rPr>
            </w:pPr>
            <w:r>
              <w:rPr>
                <w:rFonts w:hint="eastAsia" w:ascii="仿宋" w:hAnsi="仿宋" w:eastAsia="仿宋" w:cs="仿宋"/>
              </w:rPr>
              <w:t>金额单位：万元</w:t>
            </w:r>
          </w:p>
        </w:tc>
      </w:tr>
      <w:tr>
        <w:tblPrEx>
          <w:tblCellMar>
            <w:top w:w="0" w:type="dxa"/>
            <w:left w:w="108" w:type="dxa"/>
            <w:bottom w:w="0" w:type="dxa"/>
            <w:right w:w="108" w:type="dxa"/>
          </w:tblCellMar>
        </w:tblPrEx>
        <w:trPr>
          <w:cantSplit/>
          <w:trHeight w:val="312" w:hRule="atLeast"/>
          <w:jc w:val="center"/>
        </w:trPr>
        <w:tc>
          <w:tcPr>
            <w:tcW w:w="4040"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w:t>
            </w:r>
          </w:p>
        </w:tc>
        <w:tc>
          <w:tcPr>
            <w:tcW w:w="1592"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本年收入合计</w:t>
            </w:r>
          </w:p>
        </w:tc>
        <w:tc>
          <w:tcPr>
            <w:tcW w:w="1604"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财政拨款收入</w:t>
            </w:r>
          </w:p>
        </w:tc>
        <w:tc>
          <w:tcPr>
            <w:tcW w:w="1565"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上级补助收入</w:t>
            </w:r>
          </w:p>
        </w:tc>
        <w:tc>
          <w:tcPr>
            <w:tcW w:w="1396"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财政专户管理教育收费</w:t>
            </w:r>
          </w:p>
        </w:tc>
        <w:tc>
          <w:tcPr>
            <w:tcW w:w="1578"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事业收入（不含专户管理教育收费）</w:t>
            </w:r>
          </w:p>
        </w:tc>
        <w:tc>
          <w:tcPr>
            <w:tcW w:w="1174"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经营收入</w:t>
            </w:r>
          </w:p>
        </w:tc>
        <w:tc>
          <w:tcPr>
            <w:tcW w:w="1277"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附属单位上缴收入</w:t>
            </w:r>
          </w:p>
        </w:tc>
        <w:tc>
          <w:tcPr>
            <w:tcW w:w="1213"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其他收入</w:t>
            </w:r>
          </w:p>
        </w:tc>
      </w:tr>
      <w:tr>
        <w:tblPrEx>
          <w:tblCellMar>
            <w:top w:w="0" w:type="dxa"/>
            <w:left w:w="108" w:type="dxa"/>
            <w:bottom w:w="0" w:type="dxa"/>
            <w:right w:w="108" w:type="dxa"/>
          </w:tblCellMar>
        </w:tblPrEx>
        <w:trPr>
          <w:cantSplit/>
          <w:trHeight w:val="220" w:hRule="atLeast"/>
          <w:jc w:val="center"/>
        </w:trPr>
        <w:tc>
          <w:tcPr>
            <w:tcW w:w="1115"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功能分类</w:t>
            </w:r>
          </w:p>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925"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1592"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604"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565"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396" w:type="dxa"/>
            <w:vMerge w:val="continue"/>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p>
        </w:tc>
        <w:tc>
          <w:tcPr>
            <w:tcW w:w="1578" w:type="dxa"/>
            <w:vMerge w:val="continue"/>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p>
        </w:tc>
        <w:tc>
          <w:tcPr>
            <w:tcW w:w="1174"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277"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213" w:type="dxa"/>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rPr>
            </w:pPr>
          </w:p>
        </w:tc>
      </w:tr>
      <w:tr>
        <w:tblPrEx>
          <w:tblCellMar>
            <w:top w:w="0" w:type="dxa"/>
            <w:left w:w="108" w:type="dxa"/>
            <w:bottom w:w="0" w:type="dxa"/>
            <w:right w:w="108" w:type="dxa"/>
          </w:tblCellMar>
        </w:tblPrEx>
        <w:trPr>
          <w:cantSplit/>
          <w:trHeight w:val="432" w:hRule="exact"/>
          <w:jc w:val="center"/>
        </w:trPr>
        <w:tc>
          <w:tcPr>
            <w:tcW w:w="4040"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592"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13,152.21</w:t>
            </w:r>
          </w:p>
        </w:tc>
        <w:tc>
          <w:tcPr>
            <w:tcW w:w="1604"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10,453.59</w:t>
            </w:r>
          </w:p>
        </w:tc>
        <w:tc>
          <w:tcPr>
            <w:tcW w:w="1565"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c>
          <w:tcPr>
            <w:tcW w:w="1396"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2,350.00</w:t>
            </w:r>
          </w:p>
        </w:tc>
        <w:tc>
          <w:tcPr>
            <w:tcW w:w="1578"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c>
          <w:tcPr>
            <w:tcW w:w="1174"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c>
          <w:tcPr>
            <w:tcW w:w="1277"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c>
          <w:tcPr>
            <w:tcW w:w="1213"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348.62</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205</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教育支出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10,320.72</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8,843.08</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1,129.02</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348.62</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20503</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职业教育</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10,320.72</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8,843.08</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1,129.02</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348.62</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2050302</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中等职业教育</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10,314.12</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8,836.48</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1,129.02</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348.62</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2050305</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高等职业教育</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6.60</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6.60</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208</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社会保障和就业支出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990.00</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990.00</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20805</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行政事业单位养老支出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990.00</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990.00</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2080505</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机关事业单位基本养老保险缴费支出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660.00</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660.00</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2080506</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机关事业单位职业年金缴费支出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330.00</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330.00</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214</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交通运输支出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306.00</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306.00</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21499</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其他交通运输支出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306.00</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306.00</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2149999</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其他交通运输支出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306.00</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306.00</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221</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住房保障支出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1,535.49</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314.51</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1,220.98</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22102</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住房改革支出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1,535.49</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314.51</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1,220.98</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2210201</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住房公积金</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667.83</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667.83</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2210202</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提租补贴</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867.66</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314.51</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553.15</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suppressAutoHyphens/>
        <w:bidi w:val="0"/>
        <w:spacing w:before="66" w:after="0"/>
        <w:ind w:left="0" w:leftChars="0" w:right="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color w:val="000000"/>
          <w:sz w:val="22"/>
          <w:szCs w:val="22"/>
        </w:rPr>
        <w:t>注：</w:t>
      </w:r>
      <w:r>
        <w:rPr>
          <w:rFonts w:hint="eastAsia" w:ascii="仿宋" w:hAnsi="仿宋" w:eastAsia="仿宋" w:cs="仿宋"/>
          <w:b w:val="0"/>
          <w:bCs w:val="0"/>
          <w:sz w:val="22"/>
          <w:szCs w:val="22"/>
        </w:rPr>
        <w:t>本表反映本年度取得的各项收入情况。</w:t>
      </w:r>
      <w:r>
        <w:rPr>
          <w:rFonts w:hint="eastAsia" w:ascii="仿宋" w:hAnsi="仿宋" w:eastAsia="仿宋" w:cs="仿宋"/>
          <w:b w:val="0"/>
          <w:bCs w:val="0"/>
          <w:sz w:val="22"/>
          <w:szCs w:val="22"/>
          <w:lang w:val="en-US" w:eastAsia="zh-CN"/>
        </w:rPr>
        <w:t/>
      </w:r>
      <w:r>
        <w:rPr>
          <w:rFonts w:hint="eastAsia" w:ascii="仿宋" w:hAnsi="仿宋" w:eastAsia="仿宋" w:cs="仿宋"/>
          <w:b w:val="0"/>
          <w:bCs w:val="0"/>
          <w:sz w:val="22"/>
          <w:szCs w:val="22"/>
        </w:rPr>
        <w:t>本表金额单位转换时可能存在尾数误差。</w:t>
      </w:r>
      <w:r>
        <w:rPr>
          <w:rFonts w:hint="eastAsia" w:ascii="仿宋" w:hAnsi="仿宋" w:eastAsia="仿宋" w:cs="仿宋"/>
          <w:b w:val="0"/>
          <w:bCs w:val="0"/>
          <w:sz w:val="22"/>
          <w:szCs w:val="22"/>
          <w:lang w:val="en-US" w:eastAsia="zh-CN"/>
        </w:rPr>
        <w:t/>
      </w:r>
    </w:p>
    <w:p>
      <w:pPr>
        <w:widowControl w:val="0"/>
        <w:suppressAutoHyphens/>
        <w:bidi w:val="0"/>
        <w:spacing w:before="66" w:after="0"/>
        <w:ind w:left="57" w:right="0" w:firstLine="220" w:firstLineChars="100"/>
        <w:jc w:val="both"/>
        <w:rPr>
          <w:rFonts w:hint="eastAsia" w:ascii="仿宋" w:hAnsi="仿宋" w:eastAsia="仿宋" w:cs="仿宋"/>
          <w:b w:val="0"/>
          <w:bCs w:val="0"/>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4183"/>
        <w:gridCol w:w="2011"/>
        <w:gridCol w:w="1486"/>
        <w:gridCol w:w="1564"/>
        <w:gridCol w:w="1593"/>
        <w:gridCol w:w="1472"/>
        <w:gridCol w:w="1482"/>
      </w:tblGrid>
      <w:tr>
        <w:tblPrEx>
          <w:tblCellMar>
            <w:top w:w="55" w:type="dxa"/>
            <w:left w:w="55" w:type="dxa"/>
            <w:bottom w:w="55" w:type="dxa"/>
            <w:right w:w="55" w:type="dxa"/>
          </w:tblCellMar>
        </w:tblPrEx>
        <w:trPr>
          <w:trHeight w:val="341" w:hRule="atLeast"/>
        </w:trPr>
        <w:tc>
          <w:tcPr>
            <w:tcW w:w="15347" w:type="dxa"/>
            <w:gridSpan w:val="8"/>
            <w:vAlign w:val="center"/>
          </w:tcPr>
          <w:p>
            <w:pPr>
              <w:pStyle w:val="5"/>
              <w:widowControl w:val="0"/>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支出决算表</w:t>
            </w:r>
          </w:p>
        </w:tc>
      </w:tr>
      <w:tr>
        <w:tblPrEx>
          <w:tblCellMar>
            <w:top w:w="55" w:type="dxa"/>
            <w:left w:w="55" w:type="dxa"/>
            <w:bottom w:w="55" w:type="dxa"/>
            <w:right w:w="55" w:type="dxa"/>
          </w:tblCellMar>
        </w:tblPrEx>
        <w:trPr>
          <w:trHeight w:val="321" w:hRule="atLeast"/>
        </w:trPr>
        <w:tc>
          <w:tcPr>
            <w:tcW w:w="5739" w:type="dxa"/>
            <w:gridSpan w:val="2"/>
            <w:vAlign w:val="center"/>
          </w:tcPr>
          <w:p>
            <w:pPr>
              <w:pStyle w:val="22"/>
              <w:widowControl w:val="0"/>
              <w:jc w:val="center"/>
              <w:rPr>
                <w:rFonts w:hint="eastAsia" w:ascii="仿宋" w:hAnsi="仿宋" w:eastAsia="仿宋" w:cs="仿宋"/>
              </w:rPr>
            </w:pPr>
          </w:p>
        </w:tc>
        <w:tc>
          <w:tcPr>
            <w:tcW w:w="2011" w:type="dxa"/>
            <w:vAlign w:val="center"/>
          </w:tcPr>
          <w:p>
            <w:pPr>
              <w:pStyle w:val="22"/>
              <w:widowControl w:val="0"/>
              <w:spacing w:before="0" w:after="0"/>
              <w:ind w:firstLine="0"/>
              <w:jc w:val="center"/>
              <w:rPr>
                <w:rFonts w:hint="eastAsia" w:ascii="仿宋" w:hAnsi="仿宋" w:eastAsia="仿宋" w:cs="仿宋"/>
                <w:sz w:val="20"/>
              </w:rPr>
            </w:pPr>
          </w:p>
        </w:tc>
        <w:tc>
          <w:tcPr>
            <w:tcW w:w="1486" w:type="dxa"/>
            <w:vAlign w:val="center"/>
          </w:tcPr>
          <w:p>
            <w:pPr>
              <w:pStyle w:val="22"/>
              <w:widowControl w:val="0"/>
              <w:spacing w:before="0" w:after="0"/>
              <w:ind w:firstLine="0"/>
              <w:jc w:val="center"/>
              <w:rPr>
                <w:rFonts w:hint="eastAsia" w:ascii="仿宋" w:hAnsi="仿宋" w:eastAsia="仿宋" w:cs="仿宋"/>
                <w:sz w:val="20"/>
              </w:rPr>
            </w:pPr>
          </w:p>
        </w:tc>
        <w:tc>
          <w:tcPr>
            <w:tcW w:w="1564" w:type="dxa"/>
            <w:vAlign w:val="center"/>
          </w:tcPr>
          <w:p>
            <w:pPr>
              <w:pStyle w:val="22"/>
              <w:widowControl w:val="0"/>
              <w:spacing w:before="0" w:after="0"/>
              <w:ind w:firstLine="0"/>
              <w:jc w:val="center"/>
              <w:rPr>
                <w:rFonts w:hint="eastAsia" w:ascii="仿宋" w:hAnsi="仿宋" w:eastAsia="仿宋" w:cs="仿宋"/>
                <w:sz w:val="20"/>
              </w:rPr>
            </w:pPr>
          </w:p>
        </w:tc>
        <w:tc>
          <w:tcPr>
            <w:tcW w:w="1593" w:type="dxa"/>
            <w:vAlign w:val="center"/>
          </w:tcPr>
          <w:p>
            <w:pPr>
              <w:pStyle w:val="22"/>
              <w:widowControl w:val="0"/>
              <w:spacing w:before="0" w:after="0"/>
              <w:ind w:firstLine="0"/>
              <w:jc w:val="center"/>
              <w:rPr>
                <w:rFonts w:hint="eastAsia" w:ascii="仿宋" w:hAnsi="仿宋" w:eastAsia="仿宋" w:cs="仿宋"/>
                <w:sz w:val="20"/>
              </w:rPr>
            </w:pPr>
          </w:p>
        </w:tc>
        <w:tc>
          <w:tcPr>
            <w:tcW w:w="2954" w:type="dxa"/>
            <w:gridSpan w:val="2"/>
            <w:vAlign w:val="center"/>
          </w:tcPr>
          <w:p>
            <w:pPr>
              <w:pStyle w:val="22"/>
              <w:widowControl w:val="0"/>
              <w:spacing w:before="0" w:after="0"/>
              <w:ind w:firstLine="0"/>
              <w:jc w:val="right"/>
              <w:rPr>
                <w:rFonts w:hint="eastAsia" w:ascii="仿宋" w:hAnsi="仿宋" w:eastAsia="仿宋" w:cs="仿宋"/>
                <w:sz w:val="22"/>
                <w:szCs w:val="22"/>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2393" w:type="dxa"/>
            <w:gridSpan w:val="6"/>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名称：</w:t>
            </w:r>
            <w:r>
              <w:rPr>
                <w:rFonts w:hint="eastAsia" w:ascii="仿宋" w:hAnsi="仿宋" w:eastAsia="仿宋" w:cs="仿宋"/>
              </w:rPr>
              <w:t>江苏省无锡交通高等职业技术学校</w:t>
            </w:r>
          </w:p>
        </w:tc>
        <w:tc>
          <w:tcPr>
            <w:tcW w:w="2954" w:type="dxa"/>
            <w:gridSpan w:val="2"/>
            <w:vAlign w:val="center"/>
          </w:tcPr>
          <w:p>
            <w:pPr>
              <w:pStyle w:val="22"/>
              <w:widowControl w:val="0"/>
              <w:spacing w:before="0" w:after="0"/>
              <w:ind w:firstLine="0"/>
              <w:jc w:val="right"/>
              <w:rPr>
                <w:rFonts w:hint="eastAsia" w:ascii="仿宋" w:hAnsi="仿宋" w:eastAsia="仿宋" w:cs="仿宋"/>
                <w:sz w:val="22"/>
                <w:szCs w:val="22"/>
              </w:rPr>
            </w:pPr>
            <w:r>
              <w:rPr>
                <w:rFonts w:hint="eastAsia" w:ascii="仿宋" w:hAnsi="仿宋" w:eastAsia="仿宋" w:cs="仿宋"/>
                <w:sz w:val="22"/>
                <w:szCs w:val="22"/>
              </w:rPr>
              <w:t>金额单位：万元</w:t>
            </w:r>
          </w:p>
        </w:tc>
      </w:tr>
      <w:tr>
        <w:tblPrEx>
          <w:tblCellMar>
            <w:top w:w="55" w:type="dxa"/>
            <w:left w:w="55" w:type="dxa"/>
            <w:bottom w:w="55" w:type="dxa"/>
            <w:right w:w="55" w:type="dxa"/>
          </w:tblCellMar>
        </w:tblPrEx>
        <w:trPr>
          <w:trHeight w:val="321" w:hRule="atLeast"/>
        </w:trPr>
        <w:tc>
          <w:tcPr>
            <w:tcW w:w="5739"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kern w:val="0"/>
                <w:sz w:val="22"/>
                <w:szCs w:val="22"/>
              </w:rPr>
              <w:t>项目</w:t>
            </w:r>
          </w:p>
        </w:tc>
        <w:tc>
          <w:tcPr>
            <w:tcW w:w="2011"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本年支出合计</w:t>
            </w:r>
          </w:p>
        </w:tc>
        <w:tc>
          <w:tcPr>
            <w:tcW w:w="1486"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564"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593"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472"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经营支出</w:t>
            </w:r>
          </w:p>
        </w:tc>
        <w:tc>
          <w:tcPr>
            <w:tcW w:w="1482"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0" w:hRule="atLeast"/>
        </w:trPr>
        <w:tc>
          <w:tcPr>
            <w:tcW w:w="1556" w:type="dxa"/>
            <w:tcBorders>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kern w:val="0"/>
                <w:sz w:val="22"/>
                <w:szCs w:val="22"/>
              </w:rPr>
            </w:pPr>
            <w:r>
              <w:rPr>
                <w:rFonts w:hint="eastAsia" w:ascii="仿宋" w:hAnsi="仿宋" w:eastAsia="仿宋" w:cs="仿宋"/>
                <w:kern w:val="0"/>
                <w:sz w:val="22"/>
                <w:szCs w:val="22"/>
              </w:rPr>
              <w:t>功能分类</w:t>
            </w:r>
          </w:p>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4183" w:type="dxa"/>
            <w:tcBorders>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科目名称</w:t>
            </w:r>
          </w:p>
        </w:tc>
        <w:tc>
          <w:tcPr>
            <w:tcW w:w="2011"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486"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564"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593"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472"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482" w:type="dxa"/>
            <w:vMerge w:val="continue"/>
            <w:tcBorders>
              <w:left w:val="single" w:color="000000" w:sz="4" w:space="0"/>
              <w:bottom w:val="single" w:color="000000" w:sz="4" w:space="0"/>
              <w:right w:val="single" w:color="000000" w:sz="4" w:space="0"/>
            </w:tcBorders>
          </w:tcPr>
          <w:p>
            <w:pPr>
              <w:widowControl w:val="0"/>
              <w:spacing w:before="0" w:after="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403" w:hRule="exact"/>
        </w:trPr>
        <w:tc>
          <w:tcPr>
            <w:tcW w:w="573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2011"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14,872.48</w:t>
            </w:r>
          </w:p>
        </w:tc>
        <w:tc>
          <w:tcPr>
            <w:tcW w:w="1486"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11,837.71</w:t>
            </w:r>
          </w:p>
        </w:tc>
        <w:tc>
          <w:tcPr>
            <w:tcW w:w="1564"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3,034.77</w:t>
            </w:r>
          </w:p>
        </w:tc>
        <w:tc>
          <w:tcPr>
            <w:tcW w:w="1593"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c>
          <w:tcPr>
            <w:tcW w:w="1472"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c>
          <w:tcPr>
            <w:tcW w:w="1482"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205</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教育支出</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12,073.22</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9,312.22</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2,761.00</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20503</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职业教育</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12,073.22</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9,312.22</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2,761.00</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2050302</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中等职业教育</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12,066.62</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9,305.62</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2,761.00</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2050305</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高等职业教育</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6.60</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6.60</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208</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社会保障和就业支出</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990.00</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990.00</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20805</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行政事业单位养老支出</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990.00</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990.00</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2080505</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机关事业单位基本养老保险缴费支出</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660.00</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660.00</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2080506</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机关事业单位职业年金缴费支出</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330.00</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330.00</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214</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交通运输支出</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273.77</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273.77</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21499</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其他交通运输支出</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273.77</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273.77</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2149999</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其他交通运输支出</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273.77</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273.77</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221</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住房保障支出</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1,535.49</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1,535.49</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22102</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住房改革支出</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1,535.49</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1,535.49</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2210201</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住房公积金</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667.83</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667.83</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2210202</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提租补贴</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867.66</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867.66</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bl>
    <w:p>
      <w:pPr>
        <w:widowControl w:val="0"/>
        <w:suppressAutoHyphens/>
        <w:bidi w:val="0"/>
        <w:spacing w:before="59" w:after="0"/>
        <w:ind w:left="0" w:leftChars="0" w:right="0" w:firstLine="0" w:firstLineChars="0"/>
        <w:jc w:val="left"/>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注：本表反映本年度各项支出情况。</w:t>
      </w:r>
      <w:r>
        <w:rPr>
          <w:rFonts w:hint="eastAsia" w:ascii="仿宋" w:hAnsi="仿宋" w:eastAsia="仿宋" w:cs="仿宋"/>
          <w:b w:val="0"/>
          <w:bCs w:val="0"/>
          <w:sz w:val="22"/>
          <w:szCs w:val="22"/>
          <w:lang w:val="en-US" w:eastAsia="zh-CN"/>
        </w:rPr>
        <w:t/>
      </w:r>
      <w:r>
        <w:rPr>
          <w:rFonts w:hint="eastAsia" w:ascii="仿宋" w:hAnsi="仿宋" w:eastAsia="仿宋" w:cs="仿宋"/>
          <w:b w:val="0"/>
          <w:bCs w:val="0"/>
          <w:sz w:val="22"/>
          <w:szCs w:val="22"/>
        </w:rPr>
        <w:t>本表金额单位转换时可能存在尾数误差。</w:t>
      </w:r>
      <w:r>
        <w:rPr>
          <w:rFonts w:hint="eastAsia" w:ascii="仿宋" w:hAnsi="仿宋" w:eastAsia="仿宋" w:cs="仿宋"/>
          <w:b w:val="0"/>
          <w:bCs w:val="0"/>
          <w:sz w:val="22"/>
          <w:szCs w:val="22"/>
          <w:lang w:val="en-US" w:eastAsia="zh-CN"/>
        </w:rPr>
        <w:t/>
      </w:r>
    </w:p>
    <w:p>
      <w:pPr>
        <w:widowControl w:val="0"/>
        <w:suppressAutoHyphens/>
        <w:bidi w:val="0"/>
        <w:spacing w:before="59" w:after="0"/>
        <w:ind w:left="57" w:right="0" w:firstLine="0"/>
        <w:jc w:val="left"/>
        <w:rPr>
          <w:rFonts w:hint="eastAsia" w:ascii="仿宋" w:hAnsi="仿宋" w:eastAsia="仿宋" w:cs="仿宋"/>
          <w:b w:val="0"/>
          <w:bCs w:val="0"/>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tblPrEx>
          <w:tblCellMar>
            <w:top w:w="55" w:type="dxa"/>
            <w:left w:w="55" w:type="dxa"/>
            <w:bottom w:w="55" w:type="dxa"/>
            <w:right w:w="55" w:type="dxa"/>
          </w:tblCellMar>
        </w:tblPrEx>
        <w:trPr>
          <w:trHeight w:val="319" w:hRule="atLeast"/>
        </w:trPr>
        <w:tc>
          <w:tcPr>
            <w:tcW w:w="15372" w:type="dxa"/>
            <w:gridSpan w:val="10"/>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财政拨款收入支出决算总表</w:t>
            </w:r>
          </w:p>
        </w:tc>
      </w:tr>
      <w:tr>
        <w:tblPrEx>
          <w:tblCellMar>
            <w:top w:w="55" w:type="dxa"/>
            <w:left w:w="55" w:type="dxa"/>
            <w:bottom w:w="55" w:type="dxa"/>
            <w:right w:w="55" w:type="dxa"/>
          </w:tblCellMar>
        </w:tblPrEx>
        <w:trPr>
          <w:trHeight w:val="319" w:hRule="atLeast"/>
        </w:trPr>
        <w:tc>
          <w:tcPr>
            <w:tcW w:w="5562" w:type="dxa"/>
            <w:gridSpan w:val="2"/>
          </w:tcPr>
          <w:p>
            <w:pPr>
              <w:pStyle w:val="22"/>
              <w:widowControl w:val="0"/>
              <w:rPr>
                <w:rFonts w:hint="eastAsia" w:ascii="仿宋" w:hAnsi="仿宋" w:eastAsia="仿宋" w:cs="仿宋"/>
                <w:sz w:val="20"/>
              </w:rPr>
            </w:pPr>
          </w:p>
        </w:tc>
        <w:tc>
          <w:tcPr>
            <w:tcW w:w="847" w:type="dxa"/>
          </w:tcPr>
          <w:p>
            <w:pPr>
              <w:pStyle w:val="22"/>
              <w:widowControl w:val="0"/>
              <w:rPr>
                <w:rFonts w:hint="eastAsia" w:ascii="仿宋" w:hAnsi="仿宋" w:eastAsia="仿宋" w:cs="仿宋"/>
                <w:sz w:val="20"/>
              </w:rPr>
            </w:pPr>
          </w:p>
        </w:tc>
        <w:tc>
          <w:tcPr>
            <w:tcW w:w="1913" w:type="dxa"/>
          </w:tcPr>
          <w:p>
            <w:pPr>
              <w:pStyle w:val="22"/>
              <w:widowControl w:val="0"/>
              <w:rPr>
                <w:rFonts w:hint="eastAsia" w:ascii="仿宋" w:hAnsi="仿宋" w:eastAsia="仿宋" w:cs="仿宋"/>
                <w:sz w:val="20"/>
              </w:rPr>
            </w:pPr>
          </w:p>
        </w:tc>
        <w:tc>
          <w:tcPr>
            <w:tcW w:w="2635" w:type="dxa"/>
            <w:gridSpan w:val="2"/>
          </w:tcPr>
          <w:p>
            <w:pPr>
              <w:pStyle w:val="22"/>
              <w:widowControl w:val="0"/>
              <w:rPr>
                <w:rFonts w:hint="eastAsia" w:ascii="仿宋" w:hAnsi="仿宋" w:eastAsia="仿宋" w:cs="仿宋"/>
                <w:sz w:val="20"/>
              </w:rPr>
            </w:pPr>
          </w:p>
        </w:tc>
        <w:tc>
          <w:tcPr>
            <w:tcW w:w="1194" w:type="dxa"/>
          </w:tcPr>
          <w:p>
            <w:pPr>
              <w:pStyle w:val="22"/>
              <w:widowControl w:val="0"/>
              <w:rPr>
                <w:rFonts w:hint="eastAsia" w:ascii="仿宋" w:hAnsi="仿宋" w:eastAsia="仿宋" w:cs="仿宋"/>
                <w:sz w:val="20"/>
              </w:rPr>
            </w:pPr>
          </w:p>
        </w:tc>
        <w:tc>
          <w:tcPr>
            <w:tcW w:w="3221" w:type="dxa"/>
            <w:gridSpan w:val="3"/>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2151" w:type="dxa"/>
            <w:gridSpan w:val="7"/>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名称：</w:t>
            </w:r>
            <w:r>
              <w:rPr>
                <w:rFonts w:hint="eastAsia" w:ascii="仿宋" w:hAnsi="仿宋" w:eastAsia="仿宋" w:cs="仿宋"/>
                <w:sz w:val="22"/>
                <w:szCs w:val="22"/>
              </w:rPr>
              <w:t>江苏省无锡交通高等职业技术学校</w:t>
            </w:r>
          </w:p>
        </w:tc>
        <w:tc>
          <w:tcPr>
            <w:tcW w:w="3221" w:type="dxa"/>
            <w:gridSpan w:val="3"/>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金额单位：万元</w:t>
            </w:r>
          </w:p>
        </w:tc>
      </w:tr>
      <w:tr>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收</w:t>
            </w:r>
            <w:r>
              <w:rPr>
                <w:rFonts w:hint="eastAsia" w:ascii="仿宋" w:hAnsi="仿宋" w:eastAsia="仿宋" w:cs="仿宋"/>
                <w:sz w:val="22"/>
                <w:szCs w:val="22"/>
              </w:rPr>
              <w:tab/>
            </w:r>
            <w:r>
              <w:rPr>
                <w:rFonts w:hint="eastAsia" w:ascii="仿宋" w:hAnsi="仿宋" w:eastAsia="仿宋" w:cs="仿宋"/>
                <w:sz w:val="22"/>
                <w:szCs w:val="22"/>
              </w:rPr>
              <w:t>入</w:t>
            </w:r>
          </w:p>
        </w:tc>
        <w:tc>
          <w:tcPr>
            <w:tcW w:w="9810" w:type="dxa"/>
            <w:gridSpan w:val="8"/>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支</w:t>
            </w:r>
            <w:r>
              <w:rPr>
                <w:rFonts w:hint="eastAsia" w:ascii="仿宋" w:hAnsi="仿宋" w:eastAsia="仿宋" w:cs="仿宋"/>
                <w:sz w:val="22"/>
                <w:szCs w:val="22"/>
              </w:rPr>
              <w:tab/>
            </w:r>
            <w:r>
              <w:rPr>
                <w:rFonts w:hint="eastAsia" w:ascii="仿宋" w:hAnsi="仿宋" w:eastAsia="仿宋" w:cs="仿宋"/>
                <w:sz w:val="22"/>
                <w:szCs w:val="22"/>
              </w:rPr>
              <w:t>出</w:t>
            </w:r>
          </w:p>
        </w:tc>
      </w:tr>
      <w:tr>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w:t>
            </w:r>
            <w:r>
              <w:rPr>
                <w:rFonts w:hint="eastAsia" w:ascii="仿宋" w:hAnsi="仿宋" w:eastAsia="仿宋" w:cs="仿宋"/>
                <w:sz w:val="22"/>
                <w:szCs w:val="22"/>
              </w:rPr>
              <w:tab/>
            </w:r>
            <w:r>
              <w:rPr>
                <w:rFonts w:hint="eastAsia" w:ascii="仿宋" w:hAnsi="仿宋" w:eastAsia="仿宋" w:cs="仿宋"/>
                <w:sz w:val="22"/>
                <w:szCs w:val="22"/>
              </w:rPr>
              <w:t>目</w:t>
            </w:r>
          </w:p>
        </w:tc>
        <w:tc>
          <w:tcPr>
            <w:tcW w:w="1837"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决算数</w:t>
            </w:r>
          </w:p>
        </w:tc>
        <w:tc>
          <w:tcPr>
            <w:tcW w:w="3667" w:type="dxa"/>
            <w:gridSpan w:val="3"/>
            <w:vMerge w:val="restart"/>
            <w:tcBorders>
              <w:left w:val="single" w:color="000000" w:sz="4" w:space="0"/>
              <w:bottom w:val="single" w:color="000000" w:sz="4" w:space="0"/>
            </w:tcBorders>
            <w:vAlign w:val="center"/>
          </w:tcPr>
          <w:p>
            <w:pPr>
              <w:widowControl w:val="0"/>
              <w:jc w:val="center"/>
              <w:rPr>
                <w:rFonts w:hint="eastAsia" w:ascii="仿宋" w:hAnsi="仿宋" w:eastAsia="仿宋" w:cs="仿宋"/>
                <w:sz w:val="22"/>
                <w:szCs w:val="22"/>
              </w:rPr>
            </w:pPr>
            <w:r>
              <w:rPr>
                <w:rFonts w:hint="eastAsia" w:ascii="仿宋" w:hAnsi="仿宋" w:eastAsia="仿宋" w:cs="仿宋"/>
                <w:sz w:val="22"/>
                <w:szCs w:val="22"/>
              </w:rPr>
              <w:t>按功能分类</w:t>
            </w:r>
          </w:p>
        </w:tc>
        <w:tc>
          <w:tcPr>
            <w:tcW w:w="6143" w:type="dxa"/>
            <w:gridSpan w:val="5"/>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sz w:val="22"/>
                <w:szCs w:val="22"/>
              </w:rPr>
            </w:pPr>
            <w:r>
              <w:rPr>
                <w:rFonts w:hint="eastAsia" w:ascii="仿宋" w:hAnsi="仿宋" w:eastAsia="仿宋" w:cs="仿宋"/>
                <w:sz w:val="22"/>
                <w:szCs w:val="22"/>
              </w:rPr>
              <w:t>决算数</w:t>
            </w:r>
          </w:p>
        </w:tc>
      </w:tr>
      <w:tr>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pPr>
              <w:pStyle w:val="22"/>
              <w:widowControl w:val="0"/>
              <w:rPr>
                <w:rFonts w:hint="eastAsia" w:ascii="仿宋" w:hAnsi="仿宋" w:eastAsia="仿宋" w:cs="仿宋"/>
                <w:sz w:val="22"/>
                <w:szCs w:val="22"/>
              </w:rPr>
            </w:pPr>
          </w:p>
        </w:tc>
        <w:tc>
          <w:tcPr>
            <w:tcW w:w="1837" w:type="dxa"/>
            <w:vMerge w:val="continue"/>
            <w:tcBorders>
              <w:left w:val="single" w:color="000000" w:sz="4" w:space="0"/>
              <w:bottom w:val="single" w:color="000000" w:sz="4" w:space="0"/>
            </w:tcBorders>
          </w:tcPr>
          <w:p>
            <w:pPr>
              <w:pStyle w:val="22"/>
              <w:widowControl w:val="0"/>
              <w:rPr>
                <w:rFonts w:hint="eastAsia" w:ascii="仿宋" w:hAnsi="仿宋" w:eastAsia="仿宋" w:cs="仿宋"/>
                <w:sz w:val="22"/>
                <w:szCs w:val="22"/>
              </w:rPr>
            </w:pPr>
          </w:p>
        </w:tc>
        <w:tc>
          <w:tcPr>
            <w:tcW w:w="3667" w:type="dxa"/>
            <w:gridSpan w:val="3"/>
            <w:vMerge w:val="continue"/>
            <w:tcBorders>
              <w:left w:val="single" w:color="000000" w:sz="4" w:space="0"/>
              <w:bottom w:val="single" w:color="000000" w:sz="4" w:space="0"/>
            </w:tcBorders>
          </w:tcPr>
          <w:p>
            <w:pPr>
              <w:pStyle w:val="22"/>
              <w:widowControl w:val="0"/>
              <w:rPr>
                <w:rFonts w:hint="eastAsia" w:ascii="仿宋" w:hAnsi="仿宋" w:eastAsia="仿宋" w:cs="仿宋"/>
                <w:sz w:val="22"/>
                <w:szCs w:val="22"/>
              </w:rPr>
            </w:pPr>
          </w:p>
        </w:tc>
        <w:tc>
          <w:tcPr>
            <w:tcW w:w="1728"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小计</w:t>
            </w:r>
          </w:p>
        </w:tc>
        <w:tc>
          <w:tcPr>
            <w:tcW w:w="1415"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一般公共预算财政拨款</w:t>
            </w:r>
          </w:p>
        </w:tc>
        <w:tc>
          <w:tcPr>
            <w:tcW w:w="150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政府性基金预算财政拨款</w:t>
            </w:r>
          </w:p>
        </w:tc>
        <w:tc>
          <w:tcPr>
            <w:tcW w:w="1500"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国有资本经营预算财政拨款</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10,453.59</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10,499.43</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10,499.43</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990.00</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990.00</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273.77</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273.77</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314.51</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314.51</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b/>
                <w:bCs/>
                <w:sz w:val="22"/>
                <w:szCs w:val="22"/>
              </w:rPr>
              <w:t>本年收入合计</w:t>
            </w:r>
          </w:p>
        </w:tc>
        <w:tc>
          <w:tcPr>
            <w:tcW w:w="1837" w:type="dxa"/>
            <w:tcBorders>
              <w:top w:val="single" w:color="000000" w:sz="4" w:space="0"/>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10,453.59</w:t>
            </w:r>
          </w:p>
        </w:tc>
        <w:tc>
          <w:tcPr>
            <w:tcW w:w="3667" w:type="dxa"/>
            <w:gridSpan w:val="3"/>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rPr>
              <w:t>本年支出合计</w:t>
            </w:r>
          </w:p>
        </w:tc>
        <w:tc>
          <w:tcPr>
            <w:tcW w:w="1728" w:type="dxa"/>
            <w:tcBorders>
              <w:top w:val="single" w:color="000000" w:sz="4" w:space="0"/>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12,077.71</w:t>
            </w:r>
          </w:p>
        </w:tc>
        <w:tc>
          <w:tcPr>
            <w:tcW w:w="1415" w:type="dxa"/>
            <w:gridSpan w:val="2"/>
            <w:tcBorders>
              <w:top w:val="single" w:color="000000" w:sz="4" w:space="0"/>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12,077.71</w:t>
            </w:r>
          </w:p>
        </w:tc>
        <w:tc>
          <w:tcPr>
            <w:tcW w:w="1500" w:type="dxa"/>
            <w:tcBorders>
              <w:top w:val="single" w:color="000000" w:sz="4" w:space="0"/>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年初财政拨款结转和结余</w:t>
            </w:r>
          </w:p>
        </w:tc>
        <w:tc>
          <w:tcPr>
            <w:tcW w:w="183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1,664.35</w:t>
            </w:r>
          </w:p>
        </w:tc>
        <w:tc>
          <w:tcPr>
            <w:tcW w:w="3667" w:type="dxa"/>
            <w:gridSpan w:val="3"/>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年末财政拨款结转和结余</w:t>
            </w:r>
          </w:p>
        </w:tc>
        <w:tc>
          <w:tcPr>
            <w:tcW w:w="172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40.23</w:t>
            </w:r>
          </w:p>
        </w:tc>
        <w:tc>
          <w:tcPr>
            <w:tcW w:w="1415" w:type="dxa"/>
            <w:gridSpan w:val="2"/>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40.23</w:t>
            </w:r>
          </w:p>
        </w:tc>
        <w:tc>
          <w:tcPr>
            <w:tcW w:w="15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一、一般公共预算财政拨款</w:t>
            </w:r>
          </w:p>
        </w:tc>
        <w:tc>
          <w:tcPr>
            <w:tcW w:w="183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1,664.35</w:t>
            </w:r>
          </w:p>
        </w:tc>
        <w:tc>
          <w:tcPr>
            <w:tcW w:w="3667" w:type="dxa"/>
            <w:gridSpan w:val="3"/>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72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二、政府性基金预算财政拨款</w:t>
            </w:r>
          </w:p>
        </w:tc>
        <w:tc>
          <w:tcPr>
            <w:tcW w:w="183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72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三、国有资本经营预算财政拨款</w:t>
            </w:r>
          </w:p>
        </w:tc>
        <w:tc>
          <w:tcPr>
            <w:tcW w:w="183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72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rPr>
              <w:t>总计</w:t>
            </w:r>
          </w:p>
        </w:tc>
        <w:tc>
          <w:tcPr>
            <w:tcW w:w="1837"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12,117.94</w:t>
            </w:r>
          </w:p>
        </w:tc>
        <w:tc>
          <w:tcPr>
            <w:tcW w:w="3667" w:type="dxa"/>
            <w:gridSpan w:val="3"/>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rPr>
              <w:t>总计</w:t>
            </w:r>
          </w:p>
        </w:tc>
        <w:tc>
          <w:tcPr>
            <w:tcW w:w="1728"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12,117.94</w:t>
            </w:r>
          </w:p>
        </w:tc>
        <w:tc>
          <w:tcPr>
            <w:tcW w:w="1415" w:type="dxa"/>
            <w:gridSpan w:val="2"/>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12,117.94</w:t>
            </w:r>
          </w:p>
        </w:tc>
        <w:tc>
          <w:tcPr>
            <w:tcW w:w="150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ind w:left="0" w:leftChars="0" w:firstLine="0" w:firstLineChars="0"/>
        <w:jc w:val="both"/>
        <w:rPr>
          <w:rFonts w:hint="eastAsia" w:ascii="仿宋" w:hAnsi="仿宋" w:eastAsia="仿宋" w:cs="仿宋"/>
          <w:b w:val="0"/>
          <w:bCs w:val="0"/>
        </w:rPr>
      </w:pPr>
      <w:r>
        <w:rPr>
          <w:rFonts w:hint="eastAsia" w:ascii="仿宋" w:hAnsi="仿宋" w:eastAsia="仿宋" w:cs="仿宋"/>
          <w:b w:val="0"/>
          <w:bCs w:val="0"/>
          <w:lang w:val="en-US" w:eastAsia="zh-CN"/>
        </w:rPr>
        <w:t>注：</w:t>
      </w:r>
      <w:r>
        <w:rPr>
          <w:rFonts w:hint="eastAsia" w:ascii="仿宋" w:hAnsi="仿宋" w:eastAsia="仿宋" w:cs="仿宋"/>
          <w:b w:val="0"/>
          <w:bCs w:val="0"/>
        </w:rPr>
        <w:t>本表反映本年度一般公共预算财政拨款、政府性基金预算财政拨款和国有资本经营预算财政拨款的总收支和年末结转结余情况。</w:t>
      </w:r>
      <w:r>
        <w:rPr>
          <w:rFonts w:hint="eastAsia" w:ascii="仿宋" w:hAnsi="仿宋" w:eastAsia="仿宋" w:cs="仿宋"/>
          <w:b w:val="0"/>
          <w:bCs w:val="0"/>
          <w:sz w:val="22"/>
          <w:szCs w:val="22"/>
          <w:lang w:val="en-US" w:eastAsia="zh-CN"/>
        </w:rPr>
        <w:t/>
      </w:r>
      <w:r>
        <w:rPr>
          <w:rFonts w:hint="eastAsia" w:ascii="仿宋" w:hAnsi="仿宋" w:eastAsia="仿宋" w:cs="仿宋"/>
          <w:b w:val="0"/>
          <w:bCs w:val="0"/>
        </w:rPr>
        <w:t>本表金额单位转换时可能存在尾数误差。</w:t>
      </w:r>
      <w:r>
        <w:rPr>
          <w:rFonts w:hint="eastAsia" w:ascii="仿宋" w:hAnsi="仿宋" w:eastAsia="仿宋" w:cs="仿宋"/>
          <w:b w:val="0"/>
          <w:bCs w:val="0"/>
          <w:sz w:val="22"/>
          <w:szCs w:val="22"/>
          <w:lang w:val="en-US" w:eastAsia="zh-CN"/>
        </w:rPr>
        <w:t/>
      </w:r>
    </w:p>
    <w:p>
      <w:pPr>
        <w:jc w:val="both"/>
        <w:rPr>
          <w:rFonts w:hint="eastAsia" w:ascii="仿宋" w:hAnsi="仿宋" w:eastAsia="仿宋" w:cs="仿宋"/>
          <w:b w:val="0"/>
          <w:bCs w:val="0"/>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tblPrEx>
          <w:tblCellMar>
            <w:top w:w="55" w:type="dxa"/>
            <w:left w:w="55" w:type="dxa"/>
            <w:bottom w:w="55" w:type="dxa"/>
            <w:right w:w="55" w:type="dxa"/>
          </w:tblCellMar>
        </w:tblPrEx>
        <w:trPr>
          <w:trHeight w:val="321" w:hRule="atLeast"/>
        </w:trPr>
        <w:tc>
          <w:tcPr>
            <w:tcW w:w="15417" w:type="dxa"/>
            <w:gridSpan w:val="5"/>
            <w:vAlign w:val="center"/>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财政拨款支出决算表（功能科目）</w:t>
            </w:r>
          </w:p>
        </w:tc>
      </w:tr>
      <w:tr>
        <w:tblPrEx>
          <w:tblCellMar>
            <w:top w:w="55" w:type="dxa"/>
            <w:left w:w="55" w:type="dxa"/>
            <w:bottom w:w="55" w:type="dxa"/>
            <w:right w:w="55" w:type="dxa"/>
          </w:tblCellMar>
        </w:tblPrEx>
        <w:trPr>
          <w:trHeight w:val="321" w:hRule="atLeast"/>
        </w:trPr>
        <w:tc>
          <w:tcPr>
            <w:tcW w:w="6300" w:type="dxa"/>
            <w:gridSpan w:val="2"/>
          </w:tcPr>
          <w:p>
            <w:pPr>
              <w:pStyle w:val="22"/>
              <w:widowControl w:val="0"/>
              <w:rPr>
                <w:rFonts w:hint="eastAsia" w:ascii="仿宋" w:hAnsi="仿宋" w:eastAsia="仿宋" w:cs="仿宋"/>
                <w:sz w:val="20"/>
              </w:rPr>
            </w:pPr>
          </w:p>
        </w:tc>
        <w:tc>
          <w:tcPr>
            <w:tcW w:w="3184" w:type="dxa"/>
          </w:tcPr>
          <w:p>
            <w:pPr>
              <w:pStyle w:val="22"/>
              <w:widowControl w:val="0"/>
              <w:rPr>
                <w:rFonts w:hint="eastAsia" w:ascii="仿宋" w:hAnsi="仿宋" w:eastAsia="仿宋" w:cs="仿宋"/>
                <w:sz w:val="27"/>
              </w:rPr>
            </w:pPr>
          </w:p>
        </w:tc>
        <w:tc>
          <w:tcPr>
            <w:tcW w:w="5933" w:type="dxa"/>
            <w:gridSpan w:val="2"/>
            <w:vAlign w:val="center"/>
          </w:tcPr>
          <w:p>
            <w:pPr>
              <w:pStyle w:val="22"/>
              <w:widowControl w:val="0"/>
              <w:jc w:val="right"/>
              <w:rPr>
                <w:rFonts w:hint="eastAsia" w:ascii="仿宋" w:hAnsi="仿宋" w:eastAsia="仿宋" w:cs="仿宋"/>
                <w:sz w:val="27"/>
              </w:rPr>
            </w:pPr>
            <w:r>
              <w:rPr>
                <w:rFonts w:hint="eastAsia" w:ascii="仿宋" w:hAnsi="仿宋" w:eastAsia="仿宋" w:cs="仿宋"/>
              </w:rPr>
              <w:t>公开05表</w:t>
            </w:r>
          </w:p>
        </w:tc>
      </w:tr>
      <w:tr>
        <w:tblPrEx>
          <w:tblCellMar>
            <w:top w:w="55" w:type="dxa"/>
            <w:left w:w="55" w:type="dxa"/>
            <w:bottom w:w="55" w:type="dxa"/>
            <w:right w:w="55" w:type="dxa"/>
          </w:tblCellMar>
        </w:tblPrEx>
        <w:trPr>
          <w:trHeight w:val="288" w:hRule="atLeast"/>
        </w:trPr>
        <w:tc>
          <w:tcPr>
            <w:tcW w:w="6300" w:type="dxa"/>
            <w:gridSpan w:val="2"/>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名称：</w:t>
            </w:r>
            <w:r>
              <w:rPr>
                <w:rFonts w:hint="eastAsia" w:ascii="仿宋" w:hAnsi="仿宋" w:eastAsia="仿宋" w:cs="仿宋"/>
              </w:rPr>
              <w:t>江苏省无锡交通高等职业技术学校</w:t>
            </w:r>
          </w:p>
        </w:tc>
        <w:tc>
          <w:tcPr>
            <w:tcW w:w="3184" w:type="dxa"/>
          </w:tcPr>
          <w:p>
            <w:pPr>
              <w:pStyle w:val="22"/>
              <w:widowControl w:val="0"/>
              <w:rPr>
                <w:rFonts w:hint="eastAsia" w:ascii="仿宋" w:hAnsi="仿宋" w:eastAsia="仿宋" w:cs="仿宋"/>
                <w:sz w:val="27"/>
              </w:rPr>
            </w:pPr>
          </w:p>
        </w:tc>
        <w:tc>
          <w:tcPr>
            <w:tcW w:w="2778" w:type="dxa"/>
            <w:vAlign w:val="center"/>
          </w:tcPr>
          <w:p>
            <w:pPr>
              <w:pStyle w:val="22"/>
              <w:widowControl w:val="0"/>
              <w:jc w:val="right"/>
              <w:rPr>
                <w:rFonts w:hint="eastAsia" w:ascii="仿宋" w:hAnsi="仿宋" w:eastAsia="仿宋" w:cs="仿宋"/>
                <w:sz w:val="27"/>
              </w:rPr>
            </w:pPr>
          </w:p>
        </w:tc>
        <w:tc>
          <w:tcPr>
            <w:tcW w:w="3155"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w:t>
            </w:r>
            <w:r>
              <w:rPr>
                <w:rFonts w:hint="eastAsia" w:ascii="仿宋" w:hAnsi="仿宋" w:eastAsia="仿宋" w:cs="仿宋"/>
                <w:sz w:val="22"/>
                <w:szCs w:val="22"/>
              </w:rPr>
              <w:tab/>
            </w:r>
            <w:r>
              <w:rPr>
                <w:rFonts w:hint="eastAsia" w:ascii="仿宋" w:hAnsi="仿宋" w:eastAsia="仿宋" w:cs="仿宋"/>
                <w:sz w:val="22"/>
                <w:szCs w:val="22"/>
              </w:rPr>
              <w:t>目</w:t>
            </w:r>
          </w:p>
        </w:tc>
        <w:tc>
          <w:tcPr>
            <w:tcW w:w="3184" w:type="dxa"/>
            <w:vMerge w:val="restart"/>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本年支出合计</w:t>
            </w:r>
          </w:p>
        </w:tc>
        <w:tc>
          <w:tcPr>
            <w:tcW w:w="2778" w:type="dxa"/>
            <w:vMerge w:val="restart"/>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功能分类</w:t>
            </w:r>
          </w:p>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5022"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3184"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2778"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3155"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栏次</w:t>
            </w:r>
          </w:p>
        </w:tc>
        <w:tc>
          <w:tcPr>
            <w:tcW w:w="3184"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1</w:t>
            </w:r>
          </w:p>
        </w:tc>
        <w:tc>
          <w:tcPr>
            <w:tcW w:w="2778"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2</w:t>
            </w:r>
          </w:p>
        </w:tc>
        <w:tc>
          <w:tcPr>
            <w:tcW w:w="3155" w:type="dxa"/>
            <w:tcBorders>
              <w:left w:val="single" w:color="000000" w:sz="6" w:space="0"/>
              <w:bottom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3</w:t>
            </w:r>
          </w:p>
        </w:tc>
      </w:tr>
      <w:tr>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3184"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12,077.71</w:t>
            </w:r>
          </w:p>
        </w:tc>
        <w:tc>
          <w:tcPr>
            <w:tcW w:w="2778"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rPr>
              <w:t>9,082.94</w:t>
            </w:r>
          </w:p>
        </w:tc>
        <w:tc>
          <w:tcPr>
            <w:tcW w:w="3155"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2,994.77</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10,499.43</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7,778.43</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2,721.00</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20503</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职业教育</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10,499.43</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7,778.43</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2,721.00</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2050302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中等职业教育</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10,492.83</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7,771.83</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2,721.00</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2050305</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高等职业教育</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6.60</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990.00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990.00</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990.00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990.00</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660.00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660.00</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330.00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330.00</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214</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交通运输支出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273.77</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273.77</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21499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其他交通运输支出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273.77</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273.77</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2149999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其他交通运输支出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273.77</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273.77</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314.51</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314.51</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314.51</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314.51</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314.51</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314.51</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tabs>
          <w:tab w:val="left" w:pos="0"/>
        </w:tabs>
        <w:suppressAutoHyphens/>
        <w:bidi w:val="0"/>
        <w:spacing w:before="0" w:after="0"/>
        <w:ind w:left="0" w:leftChars="0" w:right="0" w:firstLine="0" w:firstLineChars="0"/>
        <w:jc w:val="both"/>
        <w:rPr>
          <w:rFonts w:hint="eastAsia" w:ascii="仿宋" w:hAnsi="仿宋" w:eastAsia="仿宋" w:cs="仿宋"/>
          <w:b w:val="0"/>
          <w:bCs w:val="0"/>
        </w:rPr>
      </w:pPr>
      <w:r>
        <w:rPr>
          <w:rFonts w:hint="eastAsia" w:ascii="仿宋" w:hAnsi="仿宋" w:eastAsia="仿宋" w:cs="仿宋"/>
          <w:b w:val="0"/>
          <w:bCs w:val="0"/>
        </w:rPr>
        <w:t>注：本表反映本年度一般公共预算财政拨款、政府性基金预算财政拨款和国有资本经营预算财政拨款支出情况。</w:t>
      </w:r>
      <w:r>
        <w:rPr>
          <w:rFonts w:hint="eastAsia" w:ascii="仿宋" w:hAnsi="仿宋" w:eastAsia="仿宋" w:cs="仿宋"/>
          <w:b w:val="0"/>
          <w:bCs w:val="0"/>
          <w:sz w:val="22"/>
          <w:szCs w:val="22"/>
          <w:lang w:val="en-US" w:eastAsia="zh-CN"/>
        </w:rPr>
        <w:t/>
      </w:r>
      <w:r>
        <w:rPr>
          <w:rFonts w:hint="eastAsia" w:ascii="仿宋" w:hAnsi="仿宋" w:eastAsia="仿宋" w:cs="仿宋"/>
          <w:b w:val="0"/>
          <w:bCs w:val="0"/>
        </w:rPr>
        <w:t>本表金额单位转换时可能存在尾数误差。</w:t>
      </w:r>
      <w:r>
        <w:rPr>
          <w:rFonts w:hint="eastAsia" w:ascii="仿宋" w:hAnsi="仿宋" w:eastAsia="仿宋" w:cs="仿宋"/>
          <w:b w:val="0"/>
          <w:bCs w:val="0"/>
          <w:sz w:val="22"/>
          <w:szCs w:val="22"/>
          <w:lang w:val="en-US" w:eastAsia="zh-CN"/>
        </w:rPr>
        <w:t/>
      </w:r>
    </w:p>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val="0"/>
          <w:bCs w:val="0"/>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tblPrEx>
          <w:tblCellMar>
            <w:top w:w="55" w:type="dxa"/>
            <w:left w:w="55" w:type="dxa"/>
            <w:bottom w:w="55" w:type="dxa"/>
            <w:right w:w="55" w:type="dxa"/>
          </w:tblCellMar>
        </w:tblPrEx>
        <w:trPr>
          <w:trHeight w:val="319" w:hRule="atLeast"/>
        </w:trPr>
        <w:tc>
          <w:tcPr>
            <w:tcW w:w="10515" w:type="dxa"/>
            <w:gridSpan w:val="5"/>
            <w:vAlign w:val="center"/>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财政拨款基本支出决算表（经济科目）</w:t>
            </w:r>
          </w:p>
        </w:tc>
      </w:tr>
      <w:tr>
        <w:tblPrEx>
          <w:tblCellMar>
            <w:top w:w="55" w:type="dxa"/>
            <w:left w:w="55" w:type="dxa"/>
            <w:bottom w:w="55" w:type="dxa"/>
            <w:right w:w="55" w:type="dxa"/>
          </w:tblCellMar>
        </w:tblPrEx>
        <w:trPr>
          <w:trHeight w:val="319" w:hRule="atLeast"/>
        </w:trPr>
        <w:tc>
          <w:tcPr>
            <w:tcW w:w="4532" w:type="dxa"/>
            <w:gridSpan w:val="2"/>
          </w:tcPr>
          <w:p>
            <w:pPr>
              <w:pStyle w:val="22"/>
              <w:widowControl w:val="0"/>
              <w:rPr>
                <w:rFonts w:hint="eastAsia" w:ascii="仿宋" w:hAnsi="仿宋" w:eastAsia="仿宋" w:cs="仿宋"/>
                <w:sz w:val="20"/>
              </w:rPr>
            </w:pPr>
          </w:p>
        </w:tc>
        <w:tc>
          <w:tcPr>
            <w:tcW w:w="2047" w:type="dxa"/>
          </w:tcPr>
          <w:p>
            <w:pPr>
              <w:pStyle w:val="22"/>
              <w:widowControl w:val="0"/>
              <w:rPr>
                <w:rFonts w:hint="eastAsia" w:ascii="仿宋" w:hAnsi="仿宋" w:eastAsia="仿宋" w:cs="仿宋"/>
                <w:sz w:val="20"/>
              </w:rPr>
            </w:pPr>
          </w:p>
        </w:tc>
        <w:tc>
          <w:tcPr>
            <w:tcW w:w="2040" w:type="dxa"/>
          </w:tcPr>
          <w:p>
            <w:pPr>
              <w:pStyle w:val="22"/>
              <w:widowControl w:val="0"/>
              <w:rPr>
                <w:rFonts w:hint="eastAsia" w:ascii="仿宋" w:hAnsi="仿宋" w:eastAsia="仿宋" w:cs="仿宋"/>
                <w:sz w:val="20"/>
              </w:rPr>
            </w:pPr>
          </w:p>
        </w:tc>
        <w:tc>
          <w:tcPr>
            <w:tcW w:w="1896" w:type="dxa"/>
            <w:vAlign w:val="center"/>
          </w:tcPr>
          <w:p>
            <w:pPr>
              <w:pStyle w:val="22"/>
              <w:widowControl w:val="0"/>
              <w:jc w:val="right"/>
              <w:rPr>
                <w:rFonts w:hint="eastAsia" w:ascii="仿宋" w:hAnsi="仿宋" w:eastAsia="仿宋" w:cs="仿宋"/>
                <w:sz w:val="20"/>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8619"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名称：</w:t>
            </w:r>
            <w:r>
              <w:rPr>
                <w:rFonts w:hint="eastAsia" w:ascii="仿宋" w:hAnsi="仿宋" w:eastAsia="仿宋" w:cs="仿宋"/>
                <w:sz w:val="22"/>
                <w:szCs w:val="22"/>
              </w:rPr>
              <w:t>江苏省无锡交通高等职业技术学校</w:t>
            </w:r>
          </w:p>
        </w:tc>
        <w:tc>
          <w:tcPr>
            <w:tcW w:w="1896" w:type="dxa"/>
            <w:vAlign w:val="center"/>
          </w:tcPr>
          <w:p>
            <w:pPr>
              <w:pStyle w:val="22"/>
              <w:widowControl w:val="0"/>
              <w:jc w:val="right"/>
              <w:rPr>
                <w:rFonts w:hint="eastAsia" w:ascii="仿宋" w:hAnsi="仿宋" w:eastAsia="仿宋" w:cs="仿宋"/>
                <w:sz w:val="20"/>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财政拨款基本支出</w:t>
            </w:r>
          </w:p>
        </w:tc>
      </w:tr>
      <w:tr>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9,082.94</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8,160.56</w:t>
            </w:r>
          </w:p>
        </w:tc>
        <w:tc>
          <w:tcPr>
            <w:tcW w:w="1896"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922.38</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7,433.00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7,433.00</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1,139.52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1,139.52</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1,051.19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1,051.19</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79.83</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2,789.13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2,789.13</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660.00</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330.00</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262.37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262.37</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40.03</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1,080.92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1,080.92</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922.38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922.38</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19.30</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0.92</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103.76</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146.31</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47.00</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41.68</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3.64</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27.13</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280.45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280.45</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128.05</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5.99</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5.60</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38.74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38.74</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67.33</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727.55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727.55</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50.01</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374.65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374.65</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23.83</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12.88</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264.93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264.93</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赠与</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tabs>
          <w:tab w:val="left" w:pos="660"/>
          <w:tab w:val="left" w:pos="10780"/>
        </w:tabs>
        <w:suppressAutoHyphens/>
        <w:bidi w:val="0"/>
        <w:spacing w:before="25" w:after="0" w:line="290" w:lineRule="auto"/>
        <w:ind w:left="0" w:leftChars="0" w:right="0" w:rightChars="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注：本表反映本年度一般公共预算财政拨款、政府性基金预算财政拨款和国有资本经营预算财政拨款基本支出情况。</w:t>
      </w:r>
      <w:r>
        <w:rPr>
          <w:rFonts w:hint="eastAsia" w:ascii="仿宋" w:hAnsi="仿宋" w:eastAsia="仿宋" w:cs="仿宋"/>
          <w:b w:val="0"/>
          <w:bCs w:val="0"/>
          <w:sz w:val="22"/>
          <w:szCs w:val="22"/>
          <w:lang w:val="en-US" w:eastAsia="zh-CN"/>
        </w:rPr>
        <w:t/>
      </w:r>
      <w:r>
        <w:rPr>
          <w:rFonts w:hint="eastAsia" w:ascii="仿宋" w:hAnsi="仿宋" w:eastAsia="仿宋" w:cs="仿宋"/>
          <w:b w:val="0"/>
          <w:bCs w:val="0"/>
          <w:sz w:val="22"/>
          <w:szCs w:val="22"/>
        </w:rPr>
        <w:t>本表金额单位转换时可能存在尾数误差。</w:t>
      </w:r>
      <w:r>
        <w:rPr>
          <w:rFonts w:hint="eastAsia" w:ascii="仿宋" w:hAnsi="仿宋" w:eastAsia="仿宋" w:cs="仿宋"/>
          <w:b w:val="0"/>
          <w:bCs w:val="0"/>
          <w:sz w:val="22"/>
          <w:szCs w:val="22"/>
          <w:lang w:val="en-US" w:eastAsia="zh-CN"/>
        </w:rPr>
        <w:t/>
      </w:r>
    </w:p>
    <w:p>
      <w:pPr>
        <w:widowControl w:val="0"/>
        <w:numPr>
          <w:ilvl w:val="0"/>
          <w:numId w:val="0"/>
        </w:numPr>
        <w:suppressAutoHyphens/>
        <w:bidi w:val="0"/>
        <w:spacing w:before="0" w:after="0" w:line="255" w:lineRule="exact"/>
        <w:jc w:val="both"/>
        <w:rPr>
          <w:rFonts w:hint="eastAsia" w:ascii="仿宋" w:hAnsi="仿宋" w:eastAsia="仿宋" w:cs="仿宋"/>
          <w:b w:val="0"/>
          <w:bCs w:val="0"/>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tblPrEx>
          <w:tblCellMar>
            <w:top w:w="55" w:type="dxa"/>
            <w:left w:w="55" w:type="dxa"/>
            <w:bottom w:w="55" w:type="dxa"/>
            <w:right w:w="55" w:type="dxa"/>
          </w:tblCellMar>
        </w:tblPrEx>
        <w:trPr>
          <w:trHeight w:val="560" w:hRule="atLeast"/>
        </w:trPr>
        <w:tc>
          <w:tcPr>
            <w:tcW w:w="10446" w:type="dxa"/>
            <w:gridSpan w:val="5"/>
            <w:vAlign w:val="center"/>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一般公共预算支出决算表（功能科目）</w:t>
            </w:r>
          </w:p>
        </w:tc>
      </w:tr>
      <w:tr>
        <w:tblPrEx>
          <w:tblCellMar>
            <w:top w:w="55" w:type="dxa"/>
            <w:left w:w="55" w:type="dxa"/>
            <w:bottom w:w="55" w:type="dxa"/>
            <w:right w:w="55" w:type="dxa"/>
          </w:tblCellMar>
        </w:tblPrEx>
        <w:trPr>
          <w:trHeight w:val="147" w:hRule="atLeast"/>
        </w:trPr>
        <w:tc>
          <w:tcPr>
            <w:tcW w:w="5466" w:type="dxa"/>
            <w:gridSpan w:val="2"/>
          </w:tcPr>
          <w:p>
            <w:pPr>
              <w:pStyle w:val="22"/>
              <w:widowControl w:val="0"/>
              <w:rPr>
                <w:rFonts w:hint="eastAsia" w:ascii="仿宋" w:hAnsi="仿宋" w:eastAsia="仿宋" w:cs="仿宋"/>
                <w:sz w:val="20"/>
              </w:rPr>
            </w:pPr>
          </w:p>
        </w:tc>
        <w:tc>
          <w:tcPr>
            <w:tcW w:w="1969" w:type="dxa"/>
          </w:tcPr>
          <w:p>
            <w:pPr>
              <w:pStyle w:val="22"/>
              <w:widowControl w:val="0"/>
              <w:rPr>
                <w:rFonts w:hint="eastAsia" w:ascii="仿宋" w:hAnsi="仿宋" w:eastAsia="仿宋" w:cs="仿宋"/>
                <w:sz w:val="20"/>
              </w:rPr>
            </w:pPr>
          </w:p>
        </w:tc>
        <w:tc>
          <w:tcPr>
            <w:tcW w:w="1499" w:type="dxa"/>
          </w:tcPr>
          <w:p>
            <w:pPr>
              <w:pStyle w:val="22"/>
              <w:widowControl w:val="0"/>
              <w:rPr>
                <w:rFonts w:hint="eastAsia" w:ascii="仿宋" w:hAnsi="仿宋" w:eastAsia="仿宋" w:cs="仿宋"/>
                <w:sz w:val="20"/>
              </w:rPr>
            </w:pPr>
          </w:p>
        </w:tc>
        <w:tc>
          <w:tcPr>
            <w:tcW w:w="1512" w:type="dxa"/>
            <w:vAlign w:val="center"/>
          </w:tcPr>
          <w:p>
            <w:pPr>
              <w:pStyle w:val="22"/>
              <w:widowControl w:val="0"/>
              <w:jc w:val="right"/>
              <w:rPr>
                <w:rFonts w:hint="eastAsia" w:ascii="仿宋" w:hAnsi="仿宋" w:eastAsia="仿宋" w:cs="仿宋"/>
                <w:sz w:val="20"/>
              </w:rPr>
            </w:pPr>
            <w:r>
              <w:rPr>
                <w:rFonts w:hint="eastAsia" w:ascii="仿宋" w:hAnsi="仿宋" w:eastAsia="仿宋" w:cs="仿宋"/>
              </w:rPr>
              <w:t>公开07表</w:t>
            </w:r>
          </w:p>
        </w:tc>
      </w:tr>
      <w:tr>
        <w:tblPrEx>
          <w:tblCellMar>
            <w:top w:w="55" w:type="dxa"/>
            <w:left w:w="55" w:type="dxa"/>
            <w:bottom w:w="55" w:type="dxa"/>
            <w:right w:w="55" w:type="dxa"/>
          </w:tblCellMar>
        </w:tblPrEx>
        <w:trPr>
          <w:trHeight w:val="303" w:hRule="atLeast"/>
        </w:trPr>
        <w:tc>
          <w:tcPr>
            <w:tcW w:w="7435" w:type="dxa"/>
            <w:gridSpan w:val="3"/>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名称：</w:t>
            </w:r>
            <w:r>
              <w:rPr>
                <w:rFonts w:hint="eastAsia" w:ascii="仿宋" w:hAnsi="仿宋" w:eastAsia="仿宋" w:cs="仿宋"/>
              </w:rPr>
              <w:t>江苏省无锡交通高等职业技术学校</w:t>
            </w:r>
          </w:p>
        </w:tc>
        <w:tc>
          <w:tcPr>
            <w:tcW w:w="3011" w:type="dxa"/>
            <w:gridSpan w:val="2"/>
          </w:tcPr>
          <w:p>
            <w:pPr>
              <w:pStyle w:val="22"/>
              <w:widowControl w:val="0"/>
              <w:jc w:val="right"/>
              <w:rPr>
                <w:rFonts w:hint="eastAsia" w:ascii="仿宋" w:hAnsi="仿宋" w:eastAsia="仿宋" w:cs="仿宋"/>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pPr>
              <w:widowControl w:val="0"/>
              <w:jc w:val="left"/>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pPr>
              <w:widowControl w:val="0"/>
              <w:jc w:val="left"/>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1</w:t>
            </w:r>
          </w:p>
        </w:tc>
        <w:tc>
          <w:tcPr>
            <w:tcW w:w="1499"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2</w:t>
            </w:r>
          </w:p>
        </w:tc>
        <w:tc>
          <w:tcPr>
            <w:tcW w:w="1512" w:type="dxa"/>
            <w:tcBorders>
              <w:left w:val="single" w:color="000000" w:sz="6" w:space="0"/>
              <w:bottom w:val="single" w:color="000000" w:sz="6" w:space="0"/>
              <w:right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3</w:t>
            </w:r>
          </w:p>
        </w:tc>
      </w:tr>
      <w:tr>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
            </w: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12,077.71</w:t>
            </w:r>
          </w:p>
        </w:tc>
        <w:tc>
          <w:tcPr>
            <w:tcW w:w="1499" w:type="dxa"/>
            <w:tcBorders>
              <w:left w:val="single" w:color="000000" w:sz="6" w:space="0"/>
              <w:bottom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9,082.94</w:t>
            </w:r>
          </w:p>
        </w:tc>
        <w:tc>
          <w:tcPr>
            <w:tcW w:w="1512" w:type="dxa"/>
            <w:tcBorders>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2,994.77</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205</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教育支出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10,499.43</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7,778.43</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2,721.00</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20503</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职业教育</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10,499.43</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7,778.43</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2,721.00</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2050302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中等职业教育</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10,492.83</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7,771.83</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2,721.00</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2050305</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高等职业教育</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6.60</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990.00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990.00</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990.00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990.00</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660.00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660.00</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330.00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330.00</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214</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交通运输支出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273.77</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273.77</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21499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其他交通运输支出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273.77</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273.77</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2149999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其他交通运输支出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273.77</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273.77</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314.51</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314.51</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314.51</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314.51</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314.51</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314.51</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tabs>
          <w:tab w:val="left" w:pos="0"/>
        </w:tabs>
        <w:spacing w:before="25" w:after="0"/>
        <w:ind w:left="0" w:leftChars="0" w:right="0" w:rightChars="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注：本表反映本年度一般公共预算财政拨款支出情况。</w:t>
      </w:r>
      <w:r>
        <w:rPr>
          <w:rFonts w:hint="eastAsia" w:ascii="仿宋" w:hAnsi="仿宋" w:eastAsia="仿宋" w:cs="仿宋"/>
          <w:b w:val="0"/>
          <w:bCs w:val="0"/>
          <w:sz w:val="22"/>
          <w:szCs w:val="22"/>
          <w:lang w:val="en-US" w:eastAsia="zh-CN"/>
        </w:rPr>
        <w:t/>
      </w:r>
      <w:r>
        <w:rPr>
          <w:rFonts w:hint="eastAsia" w:ascii="仿宋" w:hAnsi="仿宋" w:eastAsia="仿宋" w:cs="仿宋"/>
          <w:b w:val="0"/>
          <w:bCs w:val="0"/>
          <w:sz w:val="22"/>
          <w:szCs w:val="22"/>
        </w:rPr>
        <w:t>本表金额单位转换时可能存在尾数误差。</w:t>
      </w:r>
      <w:r>
        <w:rPr>
          <w:rFonts w:hint="eastAsia" w:ascii="仿宋" w:hAnsi="仿宋" w:eastAsia="仿宋" w:cs="仿宋"/>
          <w:b w:val="0"/>
          <w:bCs w:val="0"/>
          <w:sz w:val="22"/>
          <w:szCs w:val="22"/>
          <w:lang w:val="en-US" w:eastAsia="zh-CN"/>
        </w:rPr>
        <w:t/>
      </w:r>
    </w:p>
    <w:p>
      <w:pPr>
        <w:widowControl w:val="0"/>
        <w:numPr>
          <w:ilvl w:val="0"/>
          <w:numId w:val="0"/>
        </w:numPr>
        <w:suppressAutoHyphens/>
        <w:bidi w:val="0"/>
        <w:spacing w:before="25" w:after="0"/>
        <w:jc w:val="both"/>
        <w:rPr>
          <w:rFonts w:hint="eastAsia" w:ascii="仿宋" w:hAnsi="仿宋" w:eastAsia="仿宋" w:cs="仿宋"/>
          <w:b w:val="0"/>
          <w:bCs w:val="0"/>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tblPrEx>
          <w:tblCellMar>
            <w:top w:w="55" w:type="dxa"/>
            <w:left w:w="55" w:type="dxa"/>
            <w:bottom w:w="55" w:type="dxa"/>
            <w:right w:w="55" w:type="dxa"/>
          </w:tblCellMar>
        </w:tblPrEx>
        <w:trPr>
          <w:trHeight w:val="319" w:hRule="atLeast"/>
        </w:trPr>
        <w:tc>
          <w:tcPr>
            <w:tcW w:w="10473" w:type="dxa"/>
            <w:gridSpan w:val="5"/>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一般公共预算基本支出决算表（经济科目）</w:t>
            </w:r>
          </w:p>
        </w:tc>
      </w:tr>
      <w:tr>
        <w:tblPrEx>
          <w:tblCellMar>
            <w:top w:w="55" w:type="dxa"/>
            <w:left w:w="55" w:type="dxa"/>
            <w:bottom w:w="55" w:type="dxa"/>
            <w:right w:w="55" w:type="dxa"/>
          </w:tblCellMar>
        </w:tblPrEx>
        <w:trPr>
          <w:trHeight w:val="199" w:hRule="atLeast"/>
        </w:trPr>
        <w:tc>
          <w:tcPr>
            <w:tcW w:w="8595" w:type="dxa"/>
            <w:gridSpan w:val="4"/>
            <w:vAlign w:val="center"/>
          </w:tcPr>
          <w:p>
            <w:pPr>
              <w:pStyle w:val="22"/>
              <w:widowControl w:val="0"/>
              <w:jc w:val="right"/>
              <w:rPr>
                <w:rFonts w:hint="eastAsia" w:ascii="仿宋" w:hAnsi="仿宋" w:eastAsia="仿宋" w:cs="仿宋"/>
                <w:color w:val="000000"/>
                <w:sz w:val="22"/>
                <w:szCs w:val="22"/>
                <w:lang w:eastAsia="zh-CN"/>
              </w:rPr>
            </w:pPr>
          </w:p>
        </w:tc>
        <w:tc>
          <w:tcPr>
            <w:tcW w:w="1878" w:type="dxa"/>
            <w:vAlign w:val="center"/>
          </w:tcPr>
          <w:p>
            <w:pPr>
              <w:pStyle w:val="22"/>
              <w:widowControl w:val="0"/>
              <w:jc w:val="right"/>
              <w:rPr>
                <w:rFonts w:hint="eastAsia" w:ascii="仿宋" w:hAnsi="仿宋" w:eastAsia="仿宋" w:cs="仿宋"/>
              </w:rPr>
            </w:pPr>
            <w:r>
              <w:rPr>
                <w:rFonts w:hint="eastAsia" w:ascii="仿宋" w:hAnsi="仿宋" w:eastAsia="仿宋" w:cs="仿宋"/>
              </w:rPr>
              <w:t>公开08表</w:t>
            </w:r>
          </w:p>
        </w:tc>
      </w:tr>
      <w:tr>
        <w:tblPrEx>
          <w:tblCellMar>
            <w:top w:w="55" w:type="dxa"/>
            <w:left w:w="55" w:type="dxa"/>
            <w:bottom w:w="55" w:type="dxa"/>
            <w:right w:w="55" w:type="dxa"/>
          </w:tblCellMar>
        </w:tblPrEx>
        <w:trPr>
          <w:trHeight w:val="320" w:hRule="atLeast"/>
        </w:trPr>
        <w:tc>
          <w:tcPr>
            <w:tcW w:w="8595"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名称：</w:t>
            </w:r>
            <w:r>
              <w:rPr>
                <w:rFonts w:hint="eastAsia" w:ascii="仿宋" w:hAnsi="仿宋" w:eastAsia="仿宋" w:cs="仿宋"/>
              </w:rPr>
              <w:t>江苏省无锡交通高等职业技术学校</w:t>
            </w:r>
          </w:p>
        </w:tc>
        <w:tc>
          <w:tcPr>
            <w:tcW w:w="1878" w:type="dxa"/>
            <w:vAlign w:val="center"/>
          </w:tcPr>
          <w:p>
            <w:pPr>
              <w:pStyle w:val="22"/>
              <w:widowControl w:val="0"/>
              <w:jc w:val="right"/>
              <w:rPr>
                <w:rFonts w:hint="eastAsia" w:ascii="仿宋" w:hAnsi="仿宋" w:eastAsia="仿宋" w:cs="仿宋"/>
                <w:sz w:val="20"/>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一般公共预算财政拨款基本支出</w:t>
            </w:r>
          </w:p>
        </w:tc>
      </w:tr>
      <w:tr>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9,082.94</w:t>
            </w:r>
          </w:p>
        </w:tc>
        <w:tc>
          <w:tcPr>
            <w:tcW w:w="170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8,160.56</w:t>
            </w:r>
          </w:p>
        </w:tc>
        <w:tc>
          <w:tcPr>
            <w:tcW w:w="1878"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922.38</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7,433.00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7,433.00</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1,139.52</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1,139.52</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1,051.19</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1,051.19</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79.83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79.83</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2,789.13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2,789.13</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660.00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660.00</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330.00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330.00</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262.37</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262.37</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40.03</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1,080.92</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1,080.92</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922.38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922.38</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19.30</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0.92</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0.92</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103.76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103.76</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146.31</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146.31</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47.00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47.00</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41.68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41.68</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6.50</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3.64</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27.13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27.13</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280.45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280.45</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128.05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128.05</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5.99</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5.99</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5.60</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38.74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38.74</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67.33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67.33</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727.55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727.55</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50.01</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50.01</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374.65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374.65</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23.83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23.83</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12.88</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264.93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264.93</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赠与</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spacing w:before="25" w:after="0"/>
        <w:ind w:left="0" w:leftChars="0" w:right="-92" w:rightChars="-42"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注：本表反映本年度一般公共预算财政拨款基本支出情况。</w:t>
      </w:r>
      <w:r>
        <w:rPr>
          <w:rFonts w:hint="eastAsia" w:ascii="仿宋" w:hAnsi="仿宋" w:eastAsia="仿宋" w:cs="仿宋"/>
          <w:b w:val="0"/>
          <w:bCs w:val="0"/>
          <w:sz w:val="22"/>
          <w:szCs w:val="22"/>
          <w:lang w:val="en-US" w:eastAsia="zh-CN"/>
        </w:rPr>
        <w:t/>
      </w:r>
      <w:r>
        <w:rPr>
          <w:rFonts w:hint="eastAsia" w:ascii="仿宋" w:hAnsi="仿宋" w:eastAsia="仿宋" w:cs="仿宋"/>
          <w:b w:val="0"/>
          <w:bCs w:val="0"/>
          <w:sz w:val="22"/>
          <w:szCs w:val="22"/>
        </w:rPr>
        <w:t>本表金额单位转换时可能存在尾数误差。</w:t>
      </w:r>
      <w:r>
        <w:rPr>
          <w:rFonts w:hint="eastAsia" w:ascii="仿宋" w:hAnsi="仿宋" w:eastAsia="仿宋" w:cs="仿宋"/>
          <w:b w:val="0"/>
          <w:bCs w:val="0"/>
          <w:sz w:val="22"/>
          <w:szCs w:val="22"/>
          <w:lang w:val="en-US" w:eastAsia="zh-CN"/>
        </w:rPr>
        <w:t/>
      </w:r>
    </w:p>
    <w:p>
      <w:pPr>
        <w:widowControl w:val="0"/>
        <w:numPr>
          <w:ilvl w:val="0"/>
          <w:numId w:val="0"/>
        </w:numPr>
        <w:suppressAutoHyphens/>
        <w:bidi w:val="0"/>
        <w:spacing w:before="25" w:after="0"/>
        <w:jc w:val="both"/>
        <w:rPr>
          <w:rFonts w:hint="eastAsia" w:ascii="仿宋" w:hAnsi="仿宋" w:eastAsia="仿宋" w:cs="仿宋"/>
          <w:b w:val="0"/>
          <w:bCs w:val="0"/>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tblPrEx>
          <w:tblCellMar>
            <w:top w:w="55" w:type="dxa"/>
            <w:left w:w="55" w:type="dxa"/>
            <w:bottom w:w="55" w:type="dxa"/>
            <w:right w:w="55" w:type="dxa"/>
          </w:tblCellMar>
        </w:tblPrEx>
        <w:trPr>
          <w:trHeight w:val="321" w:hRule="atLeast"/>
        </w:trPr>
        <w:tc>
          <w:tcPr>
            <w:tcW w:w="16486" w:type="dxa"/>
            <w:gridSpan w:val="16"/>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一般公共预算“三公”经费、会议费、培训费支出决算表</w:t>
            </w:r>
          </w:p>
        </w:tc>
      </w:tr>
      <w:tr>
        <w:tblPrEx>
          <w:tblCellMar>
            <w:top w:w="55" w:type="dxa"/>
            <w:left w:w="55" w:type="dxa"/>
            <w:bottom w:w="55" w:type="dxa"/>
            <w:right w:w="55" w:type="dxa"/>
          </w:tblCellMar>
        </w:tblPrEx>
        <w:trPr>
          <w:trHeight w:val="207" w:hRule="atLeast"/>
        </w:trPr>
        <w:tc>
          <w:tcPr>
            <w:tcW w:w="16486" w:type="dxa"/>
            <w:gridSpan w:val="16"/>
          </w:tcPr>
          <w:p>
            <w:pPr>
              <w:pStyle w:val="22"/>
              <w:widowControl w:val="0"/>
              <w:jc w:val="right"/>
              <w:rPr>
                <w:rFonts w:hint="eastAsia" w:ascii="仿宋" w:hAnsi="仿宋" w:eastAsia="仿宋" w:cs="仿宋"/>
                <w:sz w:val="20"/>
              </w:rPr>
            </w:pPr>
            <w:r>
              <w:rPr>
                <w:rFonts w:hint="eastAsia" w:ascii="仿宋" w:hAnsi="仿宋" w:eastAsia="仿宋" w:cs="仿宋"/>
              </w:rPr>
              <w:t>公开09表</w:t>
            </w:r>
          </w:p>
        </w:tc>
      </w:tr>
      <w:tr>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名称：</w:t>
            </w:r>
            <w:r>
              <w:rPr>
                <w:rFonts w:hint="eastAsia" w:ascii="仿宋" w:hAnsi="仿宋" w:eastAsia="仿宋" w:cs="仿宋"/>
              </w:rPr>
              <w:t>江苏省无锡交通高等职业技术学校</w:t>
            </w:r>
          </w:p>
        </w:tc>
        <w:tc>
          <w:tcPr>
            <w:tcW w:w="8274" w:type="dxa"/>
            <w:gridSpan w:val="8"/>
            <w:tcBorders>
              <w:bottom w:val="single" w:color="auto" w:sz="4" w:space="0"/>
            </w:tcBorders>
          </w:tcPr>
          <w:p>
            <w:pPr>
              <w:pStyle w:val="22"/>
              <w:widowControl w:val="0"/>
              <w:jc w:val="right"/>
              <w:rPr>
                <w:rFonts w:hint="eastAsia" w:ascii="仿宋" w:hAnsi="仿宋" w:eastAsia="仿宋" w:cs="仿宋"/>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pPr>
              <w:pStyle w:val="22"/>
              <w:widowControl w:val="0"/>
              <w:jc w:val="center"/>
              <w:rPr>
                <w:rFonts w:hint="eastAsia" w:ascii="仿宋" w:hAnsi="仿宋" w:eastAsia="仿宋" w:cs="仿宋"/>
              </w:rPr>
            </w:pPr>
            <w:r>
              <w:rPr>
                <w:rFonts w:hint="eastAsia" w:ascii="仿宋" w:hAnsi="仿宋" w:eastAsia="仿宋" w:cs="仿宋"/>
                <w:lang w:val="en-US" w:eastAsia="zh-CN"/>
              </w:rPr>
              <w:t>预算数</w:t>
            </w:r>
          </w:p>
        </w:tc>
        <w:tc>
          <w:tcPr>
            <w:tcW w:w="8274" w:type="dxa"/>
            <w:gridSpan w:val="8"/>
            <w:tcBorders>
              <w:top w:val="single" w:color="auto" w:sz="4" w:space="0"/>
              <w:left w:val="single" w:color="auto" w:sz="4" w:space="0"/>
              <w:bottom w:val="single" w:color="auto" w:sz="4" w:space="0"/>
              <w:right w:val="single" w:color="auto" w:sz="4" w:space="0"/>
            </w:tcBorders>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决算数</w:t>
            </w:r>
          </w:p>
        </w:tc>
      </w:tr>
      <w:tr>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培训费</w:t>
            </w:r>
          </w:p>
        </w:tc>
      </w:tr>
      <w:tr>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w:t>
            </w:r>
          </w:p>
          <w:p>
            <w:pPr>
              <w:pStyle w:val="22"/>
              <w:widowControl w:val="0"/>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pPr>
              <w:widowControl w:val="0"/>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pPr>
              <w:widowControl w:val="0"/>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w:t>
            </w:r>
          </w:p>
          <w:p>
            <w:pPr>
              <w:pStyle w:val="22"/>
              <w:widowControl w:val="0"/>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pPr>
              <w:widowControl w:val="0"/>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pPr>
              <w:widowControl w:val="0"/>
              <w:jc w:val="center"/>
              <w:rPr>
                <w:rFonts w:hint="eastAsia" w:ascii="仿宋" w:hAnsi="仿宋" w:eastAsia="仿宋" w:cs="仿宋"/>
                <w:sz w:val="20"/>
              </w:rPr>
            </w:pPr>
          </w:p>
        </w:tc>
      </w:tr>
      <w:tr>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pPr>
              <w:widowControl w:val="0"/>
              <w:jc w:val="left"/>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pPr>
              <w:widowControl w:val="0"/>
              <w:jc w:val="left"/>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029"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pPr>
              <w:widowControl w:val="0"/>
              <w:jc w:val="left"/>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pPr>
              <w:widowControl w:val="0"/>
              <w:jc w:val="left"/>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vAlign w:val="top"/>
          </w:tcPr>
          <w:p>
            <w:pPr>
              <w:widowControl w:val="0"/>
              <w:jc w:val="left"/>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vAlign w:val="top"/>
          </w:tcPr>
          <w:p>
            <w:pPr>
              <w:widowControl w:val="0"/>
              <w:jc w:val="left"/>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
                <w:szCs w:val="2"/>
              </w:rPr>
            </w:pPr>
            <w:r>
              <w:rPr>
                <w:rFonts w:hint="eastAsia" w:ascii="仿宋" w:hAnsi="仿宋" w:eastAsia="仿宋" w:cs="仿宋"/>
              </w:rPr>
              <w:t/>
            </w:r>
            <w:r>
              <w:rPr>
                <w:rFonts w:ascii="仿宋" w:hAnsi="仿宋" w:cs="仿宋" w:eastAsia="仿宋"/>
              </w:rPr>
              <w:t>小计</w:t>
            </w:r>
          </w:p>
        </w:tc>
        <w:tc>
          <w:tcPr>
            <w:tcW w:w="1089"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vAlign w:val="top"/>
          </w:tcPr>
          <w:p>
            <w:pPr>
              <w:widowControl w:val="0"/>
              <w:jc w:val="left"/>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vAlign w:val="top"/>
          </w:tcPr>
          <w:p>
            <w:pPr>
              <w:widowControl w:val="0"/>
              <w:jc w:val="left"/>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vAlign w:val="top"/>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35.60</w:t>
            </w:r>
          </w:p>
        </w:tc>
        <w:tc>
          <w:tcPr>
            <w:tcW w:w="1042"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5.60</w:t>
            </w:r>
          </w:p>
        </w:tc>
        <w:tc>
          <w:tcPr>
            <w:tcW w:w="102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5.60</w:t>
            </w:r>
          </w:p>
        </w:tc>
        <w:tc>
          <w:tcPr>
            <w:tcW w:w="1026"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30.00</w:t>
            </w:r>
          </w:p>
        </w:tc>
        <w:tc>
          <w:tcPr>
            <w:tcW w:w="104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58"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9.24</w:t>
            </w:r>
          </w:p>
        </w:tc>
        <w:tc>
          <w:tcPr>
            <w:tcW w:w="101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5.60</w:t>
            </w:r>
          </w:p>
        </w:tc>
        <w:tc>
          <w:tcPr>
            <w:tcW w:w="1089"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5.60</w:t>
            </w:r>
          </w:p>
        </w:tc>
        <w:tc>
          <w:tcPr>
            <w:tcW w:w="104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3.64</w:t>
            </w:r>
          </w:p>
        </w:tc>
        <w:tc>
          <w:tcPr>
            <w:tcW w:w="1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2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r>
    </w:tbl>
    <w:p>
      <w:pPr>
        <w:spacing w:before="30" w:after="33"/>
        <w:ind w:left="220" w:leftChars="100" w:firstLine="0" w:firstLineChars="0"/>
        <w:rPr>
          <w:rFonts w:hint="eastAsia" w:ascii="仿宋" w:hAnsi="仿宋" w:eastAsia="仿宋" w:cs="仿宋"/>
          <w:sz w:val="22"/>
          <w:szCs w:val="22"/>
        </w:rPr>
      </w:pPr>
      <w:r>
        <w:rPr>
          <w:rFonts w:hint="eastAsia" w:ascii="仿宋" w:hAnsi="仿宋" w:eastAsia="仿宋" w:cs="仿宋"/>
          <w:sz w:val="22"/>
          <w:szCs w:val="22"/>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trPr>
          <w:cantSplit/>
          <w:trHeight w:val="214"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sz w:val="22"/>
                <w:szCs w:val="22"/>
              </w:rPr>
              <w:t/>
            </w:r>
            <w:r>
              <w:rPr>
                <w:rFonts w:ascii="仿宋" w:hAnsi="仿宋" w:cs="仿宋" w:eastAsia="仿宋"/>
                <w:sz w:val="22"/>
              </w:rPr>
              <w:t>项目</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sz w:val="22"/>
                <w:szCs w:val="22"/>
              </w:rPr>
              <w:t>统计数</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sz w:val="22"/>
                <w:szCs w:val="22"/>
              </w:rPr>
              <w:t>项目</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sz w:val="22"/>
                <w:szCs w:val="22"/>
              </w:rPr>
              <w:t>统计数</w:t>
            </w:r>
          </w:p>
        </w:tc>
      </w:tr>
      <w:tr>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r>
      <w:tr>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3</w:t>
            </w:r>
          </w:p>
        </w:tc>
      </w:tr>
      <w:tr>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36</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279</w:t>
            </w:r>
          </w:p>
        </w:tc>
      </w:tr>
      <w:tr>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r>
      <w:tr>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r>
      <w:tr>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r>
    </w:tbl>
    <w:p>
      <w:pPr>
        <w:widowControl w:val="0"/>
        <w:suppressAutoHyphens/>
        <w:bidi w:val="0"/>
        <w:spacing w:before="0" w:after="0"/>
        <w:ind w:left="0" w:leftChars="0" w:right="-2" w:rightChars="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w:t>
      </w:r>
      <w:r>
        <w:rPr>
          <w:rFonts w:hint="eastAsia" w:ascii="仿宋" w:hAnsi="仿宋" w:eastAsia="仿宋" w:cs="仿宋"/>
          <w:b w:val="0"/>
          <w:bCs w:val="0"/>
          <w:sz w:val="22"/>
          <w:szCs w:val="22"/>
          <w:lang w:val="en-US" w:eastAsia="zh-CN"/>
        </w:rPr>
        <w:t>本表反映本年度一般公共预算“三公”经费、会议费和培训费支出情况。其中，预算数为全年预算数，反映按规定程序调整后的预算数；决算数是包括当年一般公共预算财政拨款和以前年度结转资金安排的实际支出。</w:t>
      </w:r>
      <w:r>
        <w:rPr>
          <w:rFonts w:ascii="仿宋" w:hAnsi="仿宋" w:cs="仿宋" w:eastAsia="仿宋"/>
          <w:sz w:val="22"/>
        </w:rPr>
        <w:t/>
      </w:r>
      <w:r>
        <w:rPr>
          <w:rFonts w:hint="eastAsia" w:ascii="仿宋" w:hAnsi="仿宋" w:eastAsia="仿宋" w:cs="仿宋"/>
          <w:b w:val="0"/>
          <w:bCs w:val="0"/>
          <w:sz w:val="22"/>
          <w:szCs w:val="22"/>
          <w:lang w:val="en-US" w:eastAsia="zh-CN"/>
        </w:rPr>
        <w:t>本表金额单位转换时可能存在尾数误差</w:t>
      </w:r>
      <w:r>
        <w:rPr>
          <w:rFonts w:hint="eastAsia" w:ascii="仿宋" w:hAnsi="仿宋" w:eastAsia="仿宋" w:cs="仿宋"/>
          <w:b w:val="0"/>
          <w:bCs w:val="0"/>
          <w:sz w:val="22"/>
          <w:szCs w:val="22"/>
        </w:rPr>
        <w:t>。</w:t>
      </w:r>
      <w:r>
        <w:rPr>
          <w:rFonts w:hint="eastAsia" w:ascii="仿宋" w:hAnsi="仿宋" w:eastAsia="仿宋" w:cs="仿宋"/>
          <w:b w:val="0"/>
          <w:bCs w:val="0"/>
          <w:sz w:val="22"/>
          <w:szCs w:val="22"/>
          <w:lang w:val="en-US" w:eastAsia="zh-CN"/>
        </w:rPr>
        <w:t/>
      </w:r>
    </w:p>
    <w:p>
      <w:pPr>
        <w:widowControl w:val="0"/>
        <w:suppressAutoHyphens/>
        <w:bidi w:val="0"/>
        <w:spacing w:before="0" w:after="0"/>
        <w:ind w:left="227" w:right="0" w:firstLine="220" w:firstLineChars="100"/>
        <w:jc w:val="both"/>
        <w:rPr>
          <w:rFonts w:hint="eastAsia" w:ascii="仿宋" w:hAnsi="仿宋" w:eastAsia="仿宋" w:cs="仿宋"/>
          <w:b w:val="0"/>
          <w:bCs w:val="0"/>
          <w:sz w:val="22"/>
          <w:szCs w:val="22"/>
        </w:rPr>
        <w:sectPr>
          <w:footerReference r:id="rId16" w:type="default"/>
          <w:pgSz w:w="16838" w:h="11906" w:orient="landscape"/>
          <w:pgMar w:top="720" w:right="153" w:bottom="720" w:left="153"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tblPrEx>
          <w:tblCellMar>
            <w:top w:w="55" w:type="dxa"/>
            <w:left w:w="55" w:type="dxa"/>
            <w:bottom w:w="55" w:type="dxa"/>
            <w:right w:w="55" w:type="dxa"/>
          </w:tblCellMar>
        </w:tblPrEx>
        <w:trPr>
          <w:trHeight w:val="395" w:hRule="atLeast"/>
        </w:trPr>
        <w:tc>
          <w:tcPr>
            <w:tcW w:w="15400" w:type="dxa"/>
            <w:gridSpan w:val="5"/>
            <w:vAlign w:val="center"/>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政府性基金预算支出决算表</w:t>
            </w:r>
          </w:p>
        </w:tc>
      </w:tr>
      <w:tr>
        <w:trPr>
          <w:trHeight w:val="323" w:hRule="atLeast"/>
        </w:trPr>
        <w:tc>
          <w:tcPr>
            <w:tcW w:w="8426" w:type="dxa"/>
            <w:gridSpan w:val="2"/>
          </w:tcPr>
          <w:p>
            <w:pPr>
              <w:pStyle w:val="22"/>
              <w:widowControl w:val="0"/>
              <w:rPr>
                <w:rFonts w:hint="eastAsia" w:ascii="仿宋" w:hAnsi="仿宋" w:eastAsia="仿宋" w:cs="仿宋"/>
                <w:sz w:val="20"/>
              </w:rPr>
            </w:pPr>
          </w:p>
        </w:tc>
        <w:tc>
          <w:tcPr>
            <w:tcW w:w="2684" w:type="dxa"/>
          </w:tcPr>
          <w:p>
            <w:pPr>
              <w:pStyle w:val="22"/>
              <w:widowControl w:val="0"/>
              <w:rPr>
                <w:rFonts w:hint="eastAsia" w:ascii="仿宋" w:hAnsi="仿宋" w:eastAsia="仿宋" w:cs="仿宋"/>
                <w:sz w:val="27"/>
              </w:rPr>
            </w:pPr>
          </w:p>
        </w:tc>
        <w:tc>
          <w:tcPr>
            <w:tcW w:w="2432" w:type="dxa"/>
          </w:tcPr>
          <w:p>
            <w:pPr>
              <w:pStyle w:val="22"/>
              <w:widowControl w:val="0"/>
              <w:rPr>
                <w:rFonts w:hint="eastAsia" w:ascii="仿宋" w:hAnsi="仿宋" w:eastAsia="仿宋" w:cs="仿宋"/>
                <w:sz w:val="20"/>
              </w:rPr>
            </w:pPr>
          </w:p>
        </w:tc>
        <w:tc>
          <w:tcPr>
            <w:tcW w:w="1858"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公开10表</w:t>
            </w:r>
          </w:p>
        </w:tc>
      </w:tr>
      <w:tr>
        <w:tblPrEx>
          <w:tblCellMar>
            <w:top w:w="55" w:type="dxa"/>
            <w:left w:w="55" w:type="dxa"/>
            <w:bottom w:w="55" w:type="dxa"/>
            <w:right w:w="55" w:type="dxa"/>
          </w:tblCellMar>
        </w:tblPrEx>
        <w:trPr>
          <w:trHeight w:val="152" w:hRule="atLeast"/>
        </w:trPr>
        <w:tc>
          <w:tcPr>
            <w:tcW w:w="13542"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名称：</w:t>
            </w:r>
            <w:r>
              <w:rPr>
                <w:rFonts w:hint="eastAsia" w:ascii="仿宋" w:hAnsi="仿宋" w:eastAsia="仿宋" w:cs="仿宋"/>
              </w:rPr>
              <w:t>江苏省无锡交通高等职业技术学校</w:t>
            </w:r>
          </w:p>
        </w:tc>
        <w:tc>
          <w:tcPr>
            <w:tcW w:w="1858"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金额单位：万元</w:t>
            </w:r>
          </w:p>
        </w:tc>
      </w:tr>
      <w:tr>
        <w:trPr>
          <w:trHeight w:val="267" w:hRule="atLeast"/>
        </w:trPr>
        <w:tc>
          <w:tcPr>
            <w:tcW w:w="8426"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功能分类</w:t>
            </w:r>
          </w:p>
          <w:p>
            <w:pPr>
              <w:pStyle w:val="22"/>
              <w:widowControl w:val="0"/>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rPr>
            </w:pPr>
          </w:p>
        </w:tc>
      </w:tr>
      <w:tr>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243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2</w:t>
            </w:r>
          </w:p>
        </w:tc>
      </w:tr>
      <w:tr>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432"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58"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w:r>
          </w:p>
        </w:tc>
        <w:tc>
          <w:tcPr>
            <w:tcW w:w="699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w:r>
          </w:p>
        </w:tc>
        <w:tc>
          <w:tcPr>
            <w:tcW w:w="268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
            </w: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
            </w:r>
          </w:p>
        </w:tc>
      </w:tr>
      <w:tr>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w:r>
          </w:p>
        </w:tc>
        <w:tc>
          <w:tcPr>
            <w:tcW w:w="699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w:r>
          </w:p>
        </w:tc>
        <w:tc>
          <w:tcPr>
            <w:tcW w:w="268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
            </w: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
            </w:r>
          </w:p>
        </w:tc>
      </w:tr>
    </w:tbl>
    <w:p>
      <w:pPr>
        <w:spacing w:before="25" w:after="0"/>
        <w:ind w:left="0" w:leftChars="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注：本表反映本年度政府性基金预算财政拨款支出情况。</w:t>
      </w:r>
      <w:r>
        <w:rPr>
          <w:rFonts w:hint="eastAsia" w:ascii="仿宋" w:hAnsi="仿宋" w:eastAsia="仿宋" w:cs="仿宋"/>
          <w:b w:val="0"/>
          <w:bCs w:val="0"/>
          <w:sz w:val="22"/>
          <w:szCs w:val="22"/>
          <w:lang w:val="en-US" w:eastAsia="zh-CN"/>
        </w:rPr>
        <w:t/>
      </w:r>
      <w:r>
        <w:rPr>
          <w:rFonts w:hint="eastAsia" w:ascii="仿宋" w:hAnsi="仿宋" w:eastAsia="仿宋" w:cs="仿宋"/>
          <w:b w:val="0"/>
          <w:bCs w:val="0"/>
          <w:sz w:val="22"/>
          <w:szCs w:val="22"/>
          <w:lang w:val="en-US" w:eastAsia="zh-CN"/>
        </w:rPr>
        <w:t/>
      </w:r>
    </w:p>
    <w:p>
      <w:pPr>
        <w:numPr>
          <w:ilvl w:val="0"/>
          <w:numId w:val="0"/>
        </w:numPr>
        <w:spacing w:before="25" w:after="0"/>
        <w:ind w:left="440" w:leftChars="200" w:firstLine="0" w:firstLineChars="0"/>
        <w:jc w:val="both"/>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
      </w:r>
      <w:r>
        <w:rPr>
          <w:rFonts w:ascii="仿宋" w:hAnsi="仿宋" w:cs="仿宋" w:eastAsia="仿宋"/>
          <w:sz w:val="22"/>
        </w:rPr>
        <w:t>本</w:t>
      </w:r>
      <w:r>
        <w:rPr>
          <w:rFonts w:ascii="仿宋" w:hAnsi="仿宋" w:cs="仿宋" w:eastAsia="仿宋"/>
          <w:sz w:val="22"/>
        </w:rPr>
        <w:t>单位</w:t>
      </w:r>
      <w:r>
        <w:rPr>
          <w:rFonts w:ascii="仿宋" w:hAnsi="仿宋" w:cs="仿宋" w:eastAsia="仿宋"/>
          <w:sz w:val="22"/>
        </w:rPr>
        <w:t>无政府性基金预算收入支出决算，故本表为空。</w:t>
      </w:r>
      <w:r>
        <w:rPr>
          <w:rFonts w:ascii="仿宋" w:hAnsi="仿宋" w:cs="仿宋" w:eastAsia="仿宋"/>
          <w:sz w:val="22"/>
        </w:rPr>
        <w:t/>
      </w:r>
    </w:p>
    <w:p>
      <w:pPr>
        <w:widowControl w:val="0"/>
        <w:numPr>
          <w:ilvl w:val="0"/>
          <w:numId w:val="0"/>
        </w:numPr>
        <w:suppressAutoHyphens/>
        <w:bidi w:val="0"/>
        <w:spacing w:before="25" w:after="0"/>
        <w:jc w:val="both"/>
        <w:rPr>
          <w:rFonts w:hint="default" w:ascii="仿宋" w:hAnsi="仿宋" w:eastAsia="仿宋" w:cs="仿宋"/>
          <w:b w:val="0"/>
          <w:bCs w:val="0"/>
          <w:sz w:val="22"/>
          <w:szCs w:val="22"/>
          <w:lang w:val="en-US" w:eastAsia="zh-CN"/>
        </w:rPr>
        <w:sectPr>
          <w:footerReference r:id="rId17"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tblPrEx>
          <w:tblCellMar>
            <w:top w:w="55" w:type="dxa"/>
            <w:left w:w="55" w:type="dxa"/>
            <w:bottom w:w="55" w:type="dxa"/>
            <w:right w:w="55" w:type="dxa"/>
          </w:tblCellMar>
        </w:tblPrEx>
        <w:trPr>
          <w:trHeight w:val="395" w:hRule="atLeast"/>
        </w:trPr>
        <w:tc>
          <w:tcPr>
            <w:tcW w:w="15400" w:type="dxa"/>
            <w:gridSpan w:val="5"/>
            <w:vAlign w:val="center"/>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国有资本经营预算支出决算表</w:t>
            </w:r>
          </w:p>
        </w:tc>
      </w:tr>
      <w:tr>
        <w:tblPrEx>
          <w:tblCellMar>
            <w:top w:w="55" w:type="dxa"/>
            <w:left w:w="55" w:type="dxa"/>
            <w:bottom w:w="55" w:type="dxa"/>
            <w:right w:w="55" w:type="dxa"/>
          </w:tblCellMar>
        </w:tblPrEx>
        <w:trPr>
          <w:trHeight w:val="323" w:hRule="atLeast"/>
        </w:trPr>
        <w:tc>
          <w:tcPr>
            <w:tcW w:w="8520" w:type="dxa"/>
            <w:gridSpan w:val="2"/>
          </w:tcPr>
          <w:p>
            <w:pPr>
              <w:pStyle w:val="22"/>
              <w:widowControl w:val="0"/>
              <w:rPr>
                <w:rFonts w:hint="eastAsia" w:ascii="仿宋" w:hAnsi="仿宋" w:eastAsia="仿宋" w:cs="仿宋"/>
                <w:sz w:val="20"/>
              </w:rPr>
            </w:pPr>
          </w:p>
        </w:tc>
        <w:tc>
          <w:tcPr>
            <w:tcW w:w="2510" w:type="dxa"/>
          </w:tcPr>
          <w:p>
            <w:pPr>
              <w:pStyle w:val="22"/>
              <w:widowControl w:val="0"/>
              <w:rPr>
                <w:rFonts w:hint="eastAsia" w:ascii="仿宋" w:hAnsi="仿宋" w:eastAsia="仿宋" w:cs="仿宋"/>
                <w:sz w:val="27"/>
              </w:rPr>
            </w:pPr>
          </w:p>
        </w:tc>
        <w:tc>
          <w:tcPr>
            <w:tcW w:w="2309" w:type="dxa"/>
          </w:tcPr>
          <w:p>
            <w:pPr>
              <w:pStyle w:val="22"/>
              <w:widowControl w:val="0"/>
              <w:rPr>
                <w:rFonts w:hint="eastAsia" w:ascii="仿宋" w:hAnsi="仿宋" w:eastAsia="仿宋" w:cs="仿宋"/>
                <w:sz w:val="20"/>
              </w:rPr>
            </w:pPr>
          </w:p>
        </w:tc>
        <w:tc>
          <w:tcPr>
            <w:tcW w:w="2061"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eastAsia="zh-CN"/>
              </w:rPr>
              <w:t>1</w:t>
            </w:r>
            <w:r>
              <w:rPr>
                <w:rFonts w:hint="eastAsia" w:ascii="仿宋" w:hAnsi="仿宋" w:eastAsia="仿宋" w:cs="仿宋"/>
              </w:rPr>
              <w:t>表</w:t>
            </w:r>
          </w:p>
        </w:tc>
      </w:tr>
      <w:tr>
        <w:tblPrEx>
          <w:tblCellMar>
            <w:top w:w="55" w:type="dxa"/>
            <w:left w:w="55" w:type="dxa"/>
            <w:bottom w:w="55" w:type="dxa"/>
            <w:right w:w="55" w:type="dxa"/>
          </w:tblCellMar>
        </w:tblPrEx>
        <w:trPr>
          <w:trHeight w:val="152" w:hRule="atLeast"/>
        </w:trPr>
        <w:tc>
          <w:tcPr>
            <w:tcW w:w="13339"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名称：</w:t>
            </w:r>
            <w:r>
              <w:rPr>
                <w:rFonts w:hint="eastAsia" w:ascii="仿宋" w:hAnsi="仿宋" w:eastAsia="仿宋" w:cs="仿宋"/>
              </w:rPr>
              <w:t>江苏省无锡交通高等职业技术学校</w:t>
            </w:r>
          </w:p>
        </w:tc>
        <w:tc>
          <w:tcPr>
            <w:tcW w:w="2061"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功能分类</w:t>
            </w:r>
          </w:p>
          <w:p>
            <w:pPr>
              <w:pStyle w:val="22"/>
              <w:widowControl w:val="0"/>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rPr>
            </w:pPr>
          </w:p>
        </w:tc>
      </w:tr>
      <w:tr>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2309"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2</w:t>
            </w:r>
          </w:p>
        </w:tc>
      </w:tr>
      <w:tr>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30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61"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
            </w:r>
          </w:p>
        </w:tc>
      </w:tr>
    </w:tbl>
    <w:p>
      <w:pPr>
        <w:bidi w:val="0"/>
        <w:ind w:left="0" w:leftChars="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注：本表反映本年度国有资本经营预算财政拨款支出情况。</w:t>
      </w:r>
      <w:r>
        <w:rPr>
          <w:rFonts w:hint="eastAsia" w:ascii="仿宋" w:hAnsi="仿宋" w:eastAsia="仿宋" w:cs="仿宋"/>
          <w:b w:val="0"/>
          <w:bCs w:val="0"/>
          <w:sz w:val="22"/>
          <w:szCs w:val="22"/>
          <w:lang w:val="en-US" w:eastAsia="zh-CN"/>
        </w:rPr>
        <w:t/>
      </w:r>
      <w:r>
        <w:rPr>
          <w:rFonts w:hint="eastAsia" w:ascii="仿宋" w:hAnsi="仿宋" w:eastAsia="仿宋" w:cs="仿宋"/>
          <w:b w:val="0"/>
          <w:bCs w:val="0"/>
          <w:sz w:val="22"/>
          <w:szCs w:val="22"/>
          <w:lang w:val="en-US" w:eastAsia="zh-CN"/>
        </w:rPr>
        <w:t/>
      </w:r>
    </w:p>
    <w:p>
      <w:pPr>
        <w:numPr>
          <w:ilvl w:val="0"/>
          <w:numId w:val="0"/>
        </w:numPr>
        <w:bidi w:val="0"/>
        <w:ind w:left="440" w:leftChars="200" w:firstLine="0" w:firstLineChars="0"/>
        <w:jc w:val="both"/>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
      </w:r>
      <w:r>
        <w:rPr>
          <w:rFonts w:ascii="仿宋" w:hAnsi="仿宋" w:cs="仿宋" w:eastAsia="仿宋"/>
          <w:sz w:val="22"/>
        </w:rPr>
        <w:t>本</w:t>
      </w:r>
      <w:r>
        <w:rPr>
          <w:rFonts w:ascii="仿宋" w:hAnsi="仿宋" w:cs="仿宋" w:eastAsia="仿宋"/>
          <w:sz w:val="22"/>
        </w:rPr>
        <w:t>单位</w:t>
      </w:r>
      <w:r>
        <w:rPr>
          <w:rFonts w:ascii="仿宋" w:hAnsi="仿宋" w:cs="仿宋" w:eastAsia="仿宋"/>
          <w:sz w:val="22"/>
        </w:rPr>
        <w:t>无</w:t>
      </w:r>
      <w:r>
        <w:rPr>
          <w:rFonts w:hint="eastAsia" w:ascii="仿宋" w:hAnsi="仿宋" w:eastAsia="仿宋" w:cs="仿宋"/>
          <w:b w:val="0"/>
          <w:bCs w:val="0"/>
          <w:sz w:val="22"/>
          <w:szCs w:val="22"/>
        </w:rPr>
        <w:t>国有资本经营预算支出</w:t>
      </w:r>
      <w:r>
        <w:rPr>
          <w:rFonts w:hint="eastAsia" w:ascii="仿宋" w:hAnsi="仿宋" w:eastAsia="仿宋" w:cs="仿宋"/>
          <w:b w:val="0"/>
          <w:bCs w:val="0"/>
          <w:sz w:val="22"/>
          <w:szCs w:val="22"/>
          <w:lang w:val="en-US" w:eastAsia="zh-CN"/>
        </w:rPr>
        <w:t>决算，故本表为空。</w:t>
      </w:r>
      <w:r>
        <w:rPr>
          <w:rFonts w:ascii="仿宋" w:hAnsi="仿宋" w:cs="仿宋" w:eastAsia="仿宋"/>
          <w:sz w:val="22"/>
        </w:rPr>
        <w:t/>
      </w:r>
    </w:p>
    <w:p>
      <w:pPr>
        <w:spacing w:before="25" w:after="0"/>
        <w:ind w:left="-220" w:leftChars="-100" w:firstLine="0" w:firstLineChars="0"/>
        <w:jc w:val="both"/>
        <w:rPr>
          <w:rFonts w:hint="default" w:ascii="仿宋" w:hAnsi="仿宋" w:eastAsia="仿宋" w:cs="仿宋"/>
          <w:b w:val="0"/>
          <w:bCs w:val="0"/>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tblPrEx>
          <w:tblCellMar>
            <w:top w:w="55" w:type="dxa"/>
            <w:left w:w="55" w:type="dxa"/>
            <w:bottom w:w="55" w:type="dxa"/>
            <w:right w:w="55" w:type="dxa"/>
          </w:tblCellMar>
        </w:tblPrEx>
        <w:trPr>
          <w:trHeight w:val="319" w:hRule="atLeast"/>
        </w:trPr>
        <w:tc>
          <w:tcPr>
            <w:tcW w:w="10466" w:type="dxa"/>
            <w:gridSpan w:val="3"/>
          </w:tcPr>
          <w:p>
            <w:pPr>
              <w:pStyle w:val="22"/>
              <w:widowControl w:val="0"/>
              <w:tabs>
                <w:tab w:val="left" w:pos="610"/>
              </w:tabs>
              <w:spacing w:before="28" w:after="0"/>
              <w:ind w:left="8" w:firstLine="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一般公共预算机关运行经费支出决算表</w:t>
            </w:r>
          </w:p>
        </w:tc>
      </w:tr>
      <w:tr>
        <w:tblPrEx>
          <w:tblCellMar>
            <w:top w:w="55" w:type="dxa"/>
            <w:left w:w="55" w:type="dxa"/>
            <w:bottom w:w="55" w:type="dxa"/>
            <w:right w:w="55" w:type="dxa"/>
          </w:tblCellMar>
        </w:tblPrEx>
        <w:trPr>
          <w:trHeight w:val="90" w:hRule="atLeast"/>
        </w:trPr>
        <w:tc>
          <w:tcPr>
            <w:tcW w:w="6632" w:type="dxa"/>
            <w:gridSpan w:val="2"/>
          </w:tcPr>
          <w:p>
            <w:pPr>
              <w:pStyle w:val="22"/>
              <w:widowControl w:val="0"/>
              <w:rPr>
                <w:rFonts w:hint="eastAsia" w:ascii="仿宋" w:hAnsi="仿宋" w:eastAsia="仿宋" w:cs="仿宋"/>
                <w:sz w:val="20"/>
              </w:rPr>
            </w:pPr>
          </w:p>
        </w:tc>
        <w:tc>
          <w:tcPr>
            <w:tcW w:w="3834" w:type="dxa"/>
            <w:vAlign w:val="center"/>
          </w:tcPr>
          <w:p>
            <w:pPr>
              <w:pStyle w:val="22"/>
              <w:widowControl w:val="0"/>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6632" w:type="dxa"/>
            <w:gridSpan w:val="2"/>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名称：</w:t>
            </w:r>
            <w:r>
              <w:rPr>
                <w:rFonts w:hint="eastAsia" w:ascii="仿宋" w:hAnsi="仿宋" w:eastAsia="仿宋" w:cs="仿宋"/>
              </w:rPr>
              <w:t>江苏省无锡交通高等职业技术学校</w:t>
            </w:r>
          </w:p>
        </w:tc>
        <w:tc>
          <w:tcPr>
            <w:tcW w:w="3834"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w:t>
            </w:r>
            <w:r>
              <w:rPr>
                <w:rFonts w:hint="eastAsia" w:ascii="仿宋" w:hAnsi="仿宋" w:eastAsia="仿宋" w:cs="仿宋"/>
                <w:sz w:val="22"/>
                <w:szCs w:val="22"/>
              </w:rPr>
              <w:tab/>
            </w:r>
            <w:r>
              <w:rPr>
                <w:rFonts w:hint="eastAsia" w:ascii="仿宋" w:hAnsi="仿宋" w:eastAsia="仿宋" w:cs="仿宋"/>
                <w:sz w:val="22"/>
                <w:szCs w:val="22"/>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机关运行经费支出决算</w:t>
            </w:r>
          </w:p>
        </w:tc>
      </w:tr>
      <w:tr>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99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3834" w:type="dxa"/>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3834"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val="true"/>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val="true"/>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val="true"/>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val="true"/>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val="true"/>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val="true"/>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val="true"/>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val="true"/>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val="true"/>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val="true"/>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bl>
    <w:p>
      <w:pPr>
        <w:spacing w:before="25" w:after="0"/>
        <w:ind w:left="0" w:leftChars="0" w:right="-92" w:rightChars="-42" w:firstLine="0" w:firstLineChars="0"/>
        <w:jc w:val="both"/>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rPr>
        <w:t>注：“机关运行经费” 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r>
        <w:rPr>
          <w:rFonts w:hint="eastAsia" w:ascii="仿宋" w:hAnsi="仿宋" w:eastAsia="仿宋" w:cs="仿宋"/>
          <w:b w:val="0"/>
          <w:bCs w:val="0"/>
          <w:sz w:val="22"/>
          <w:szCs w:val="22"/>
          <w:lang w:val="en-US" w:eastAsia="zh-CN"/>
        </w:rPr>
        <w:t/>
      </w:r>
      <w:r>
        <w:rPr>
          <w:rFonts w:hint="eastAsia" w:ascii="仿宋" w:hAnsi="仿宋" w:eastAsia="仿宋" w:cs="仿宋"/>
          <w:b w:val="0"/>
          <w:bCs w:val="0"/>
          <w:sz w:val="22"/>
          <w:szCs w:val="22"/>
          <w:lang w:val="en-US" w:eastAsia="zh-CN"/>
        </w:rPr>
        <w:t/>
      </w:r>
    </w:p>
    <w:p>
      <w:pPr>
        <w:numPr>
          <w:ilvl w:val="0"/>
          <w:numId w:val="0"/>
        </w:numPr>
        <w:tabs>
          <w:tab w:val="left" w:pos="440"/>
        </w:tabs>
        <w:spacing w:before="25" w:after="0"/>
        <w:ind w:left="440" w:leftChars="20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
      </w:r>
      <w:r>
        <w:rPr>
          <w:rFonts w:hint="eastAsia" w:ascii="仿宋" w:hAnsi="仿宋" w:eastAsia="仿宋" w:cs="仿宋"/>
          <w:b w:val="0"/>
          <w:bCs w:val="0"/>
          <w:sz w:val="22"/>
          <w:szCs w:val="22"/>
          <w:lang w:eastAsia="zh-CN"/>
        </w:rPr>
        <w:t>本</w:t>
      </w:r>
      <w:r>
        <w:rPr>
          <w:rFonts w:ascii="仿宋" w:hAnsi="仿宋" w:cs="仿宋" w:eastAsia="仿宋"/>
          <w:sz w:val="22"/>
        </w:rPr>
        <w:t>单位</w:t>
      </w:r>
      <w:r>
        <w:rPr>
          <w:rFonts w:hint="eastAsia" w:ascii="仿宋" w:hAnsi="仿宋" w:eastAsia="仿宋" w:cs="仿宋"/>
          <w:b w:val="0"/>
          <w:bCs w:val="0"/>
          <w:sz w:val="22"/>
          <w:szCs w:val="22"/>
        </w:rPr>
        <w:t>无一般公共预算机关运行经费支出决算，故本表为空。</w:t>
      </w:r>
      <w:r>
        <w:rPr>
          <w:rFonts w:ascii="仿宋" w:hAnsi="仿宋" w:cs="仿宋" w:eastAsia="仿宋"/>
          <w:sz w:val="22"/>
        </w:rPr>
        <w:t/>
      </w:r>
    </w:p>
    <w:p>
      <w:pPr>
        <w:numPr>
          <w:ilvl w:val="0"/>
          <w:numId w:val="0"/>
        </w:numPr>
        <w:tabs>
          <w:tab w:val="left" w:pos="440"/>
        </w:tabs>
        <w:spacing w:before="25" w:after="0"/>
        <w:ind w:left="440" w:leftChars="200" w:firstLine="0" w:firstLineChars="0"/>
        <w:jc w:val="both"/>
        <w:rPr>
          <w:rFonts w:hint="eastAsia" w:ascii="仿宋" w:hAnsi="仿宋" w:eastAsia="仿宋" w:cs="仿宋"/>
          <w:b w:val="0"/>
          <w:bCs w:val="0"/>
          <w:sz w:val="22"/>
          <w:szCs w:val="22"/>
          <w:lang w:val="en-US" w:eastAsia="zh-CN"/>
        </w:rPr>
        <w:sectPr>
          <w:footerReference r:id="rId18" w:type="default"/>
          <w:type w:val="continuous"/>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tblPrEx>
          <w:tblCellMar>
            <w:top w:w="55" w:type="dxa"/>
            <w:left w:w="55" w:type="dxa"/>
            <w:bottom w:w="55" w:type="dxa"/>
            <w:right w:w="55" w:type="dxa"/>
          </w:tblCellMar>
        </w:tblPrEx>
        <w:trPr>
          <w:trHeight w:val="333" w:hRule="atLeast"/>
        </w:trPr>
        <w:tc>
          <w:tcPr>
            <w:tcW w:w="10459" w:type="dxa"/>
            <w:gridSpan w:val="4"/>
            <w:vAlign w:val="center"/>
          </w:tcPr>
          <w:p>
            <w:pPr>
              <w:pStyle w:val="22"/>
              <w:widowControl w:val="0"/>
              <w:bidi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政府采购支出决算表</w:t>
            </w:r>
          </w:p>
        </w:tc>
      </w:tr>
      <w:tr>
        <w:tblPrEx>
          <w:tblCellMar>
            <w:top w:w="55" w:type="dxa"/>
            <w:left w:w="55" w:type="dxa"/>
            <w:bottom w:w="55" w:type="dxa"/>
            <w:right w:w="55" w:type="dxa"/>
          </w:tblCellMar>
        </w:tblPrEx>
        <w:trPr>
          <w:trHeight w:val="333" w:hRule="atLeast"/>
        </w:trPr>
        <w:tc>
          <w:tcPr>
            <w:tcW w:w="4472" w:type="dxa"/>
          </w:tcPr>
          <w:p>
            <w:pPr>
              <w:pStyle w:val="22"/>
              <w:widowControl w:val="0"/>
              <w:bidi w:val="0"/>
              <w:rPr>
                <w:rFonts w:hint="eastAsia" w:ascii="仿宋" w:hAnsi="仿宋" w:eastAsia="仿宋" w:cs="仿宋"/>
              </w:rPr>
            </w:pPr>
          </w:p>
        </w:tc>
        <w:tc>
          <w:tcPr>
            <w:tcW w:w="722" w:type="dxa"/>
          </w:tcPr>
          <w:p>
            <w:pPr>
              <w:pStyle w:val="22"/>
              <w:widowControl w:val="0"/>
              <w:rPr>
                <w:rFonts w:hint="eastAsia" w:ascii="仿宋" w:hAnsi="仿宋" w:eastAsia="仿宋" w:cs="仿宋"/>
              </w:rPr>
            </w:pPr>
          </w:p>
        </w:tc>
        <w:tc>
          <w:tcPr>
            <w:tcW w:w="1992" w:type="dxa"/>
          </w:tcPr>
          <w:p>
            <w:pPr>
              <w:pStyle w:val="22"/>
              <w:widowControl w:val="0"/>
              <w:rPr>
                <w:rFonts w:hint="eastAsia" w:ascii="仿宋" w:hAnsi="仿宋" w:eastAsia="仿宋" w:cs="仿宋"/>
              </w:rPr>
            </w:pPr>
          </w:p>
        </w:tc>
        <w:tc>
          <w:tcPr>
            <w:tcW w:w="3273" w:type="dxa"/>
            <w:vAlign w:val="center"/>
          </w:tcPr>
          <w:p>
            <w:pPr>
              <w:pStyle w:val="22"/>
              <w:widowControl w:val="0"/>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7186" w:type="dxa"/>
            <w:gridSpan w:val="3"/>
          </w:tcPr>
          <w:p>
            <w:pPr>
              <w:pStyle w:val="22"/>
              <w:widowControl w:val="0"/>
              <w:bidi w:val="0"/>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名称：</w:t>
            </w:r>
            <w:r>
              <w:rPr>
                <w:rFonts w:hint="eastAsia" w:ascii="仿宋" w:hAnsi="仿宋" w:eastAsia="仿宋" w:cs="仿宋"/>
              </w:rPr>
              <w:t>江苏省无锡交通高等职业技术学校</w:t>
            </w:r>
          </w:p>
        </w:tc>
        <w:tc>
          <w:tcPr>
            <w:tcW w:w="3273" w:type="dxa"/>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pPr>
              <w:pStyle w:val="22"/>
              <w:widowControl w:val="0"/>
              <w:bidi w:val="0"/>
              <w:jc w:val="center"/>
              <w:rPr>
                <w:rFonts w:hint="eastAsia" w:ascii="仿宋" w:hAnsi="仿宋" w:eastAsia="仿宋" w:cs="仿宋"/>
                <w:lang w:val="en-US" w:eastAsia="zh-CN"/>
              </w:rPr>
            </w:pPr>
            <w:r>
              <w:rPr>
                <w:rFonts w:hint="eastAsia" w:ascii="仿宋" w:hAnsi="仿宋" w:eastAsia="仿宋" w:cs="仿宋"/>
                <w:lang w:val="en-US" w:eastAsia="zh-CN"/>
              </w:rPr>
              <w:t/>
            </w:r>
            <w:r>
              <w:rPr>
                <w:rFonts w:ascii="仿宋" w:hAnsi="仿宋" w:cs="仿宋" w:eastAsia="仿宋"/>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1,026.73</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954.89</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22.95</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48.90</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568.23</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458.51</w:t>
            </w:r>
          </w:p>
        </w:tc>
      </w:tr>
    </w:tbl>
    <w:p>
      <w:pPr>
        <w:bidi w:val="0"/>
        <w:jc w:val="both"/>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rPr>
        <w:t>注：</w:t>
      </w:r>
      <w:r>
        <w:rPr>
          <w:rFonts w:hint="eastAsia" w:ascii="仿宋" w:hAnsi="仿宋" w:eastAsia="仿宋" w:cs="仿宋"/>
          <w:b w:val="0"/>
          <w:bCs w:val="0"/>
          <w:sz w:val="22"/>
          <w:szCs w:val="22"/>
          <w:lang w:val="en-US" w:eastAsia="zh-CN"/>
        </w:rPr>
        <w:t>政府采购支出信息为单位纳入部门预算范围的各项政府采购支出情况。</w:t>
      </w:r>
      <w:r>
        <w:rPr>
          <w:rFonts w:ascii="仿宋" w:hAnsi="仿宋" w:cs="仿宋" w:eastAsia="仿宋"/>
          <w:sz w:val="22"/>
        </w:rPr>
        <w:t/>
      </w:r>
      <w:r>
        <w:rPr>
          <w:rFonts w:hint="eastAsia" w:ascii="仿宋" w:hAnsi="仿宋" w:eastAsia="仿宋" w:cs="仿宋"/>
          <w:b w:val="0"/>
          <w:bCs w:val="0"/>
          <w:sz w:val="22"/>
          <w:szCs w:val="22"/>
          <w:lang w:val="en-US" w:eastAsia="zh-CN"/>
        </w:rPr>
        <w:t>本表金额单位转换时可能存在尾数误差</w:t>
      </w:r>
      <w:r>
        <w:rPr>
          <w:rFonts w:hint="eastAsia" w:ascii="仿宋" w:hAnsi="仿宋" w:eastAsia="仿宋" w:cs="仿宋"/>
          <w:b w:val="0"/>
          <w:bCs w:val="0"/>
          <w:sz w:val="22"/>
          <w:szCs w:val="22"/>
        </w:rPr>
        <w:t>。</w:t>
      </w:r>
      <w:r>
        <w:rPr>
          <w:rFonts w:hint="eastAsia" w:ascii="仿宋" w:hAnsi="仿宋" w:eastAsia="仿宋" w:cs="仿宋"/>
          <w:b w:val="0"/>
          <w:bCs w:val="0"/>
          <w:sz w:val="22"/>
          <w:szCs w:val="22"/>
          <w:lang w:val="en-US" w:eastAsia="zh-CN"/>
        </w:rPr>
        <w:t/>
      </w:r>
    </w:p>
    <w:p>
      <w:pPr>
        <w:numPr>
          <w:ilvl w:val="0"/>
          <w:numId w:val="0"/>
        </w:numPr>
        <w:bidi w:val="0"/>
        <w:ind w:left="440" w:leftChars="200" w:firstLine="0" w:firstLineChars="0"/>
        <w:jc w:val="both"/>
        <w:rPr>
          <w:rFonts w:hint="eastAsia" w:ascii="仿宋" w:hAnsi="仿宋" w:eastAsia="仿宋" w:cs="仿宋"/>
          <w:b w:val="0"/>
          <w:bCs w:val="0"/>
          <w:sz w:val="22"/>
          <w:szCs w:val="22"/>
        </w:rPr>
        <w:sectPr>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outlineLvl w:val="0"/>
        <w:rPr>
          <w:rFonts w:hint="eastAsia" w:ascii="宋体" w:hAnsi="宋体" w:eastAsia="宋体" w:cs="宋体"/>
          <w:b/>
          <w:bCs/>
          <w:color w:val="000000"/>
          <w:kern w:val="0"/>
          <w:sz w:val="36"/>
          <w:szCs w:val="36"/>
          <w:lang w:val="zh-CN" w:eastAsia="ar-SA" w:bidi="zh-CN"/>
        </w:rPr>
      </w:pPr>
      <w:r>
        <w:rPr>
          <w:rFonts w:hint="eastAsia" w:ascii="宋体" w:hAnsi="宋体" w:eastAsia="宋体" w:cs="宋体"/>
          <w:b/>
          <w:bCs/>
          <w:color w:val="000000"/>
          <w:kern w:val="0"/>
          <w:sz w:val="36"/>
          <w:szCs w:val="36"/>
          <w:lang w:val="zh-CN" w:eastAsia="ar-SA" w:bidi="zh-CN"/>
        </w:rPr>
        <w:t>第三部分</w:t>
      </w:r>
      <w:r>
        <w:rPr>
          <w:rFonts w:hint="eastAsia" w:ascii="宋体" w:hAnsi="宋体" w:eastAsia="宋体" w:cs="宋体"/>
          <w:b/>
          <w:bCs/>
          <w:color w:val="000000"/>
          <w:kern w:val="0"/>
          <w:sz w:val="36"/>
          <w:szCs w:val="36"/>
          <w:lang w:val="en-US" w:eastAsia="zh-CN" w:bidi="zh-CN"/>
        </w:rPr>
        <w:t xml:space="preserve"> </w:t>
      </w:r>
      <w:r>
        <w:rPr>
          <w:rFonts w:hint="eastAsia" w:ascii="宋体" w:hAnsi="宋体" w:eastAsia="宋体" w:cs="宋体"/>
          <w:b/>
          <w:bCs/>
          <w:color w:val="000000"/>
          <w:kern w:val="0"/>
          <w:sz w:val="36"/>
          <w:szCs w:val="36"/>
          <w:lang w:val="zh-CN" w:eastAsia="zh-CN" w:bidi="zh-CN"/>
        </w:rPr>
        <w:t>2021</w:t>
      </w:r>
      <w:r>
        <w:rPr>
          <w:rFonts w:hint="eastAsia" w:ascii="宋体" w:hAnsi="宋体" w:eastAsia="宋体" w:cs="宋体"/>
          <w:b/>
          <w:bCs/>
          <w:color w:val="000000"/>
          <w:kern w:val="0"/>
          <w:sz w:val="36"/>
          <w:szCs w:val="36"/>
          <w:lang w:val="zh-CN" w:eastAsia="ar-SA" w:bidi="zh-CN"/>
        </w:rPr>
        <w:t>年度</w:t>
      </w:r>
      <w:r>
        <w:rPr>
          <w:rFonts w:ascii="宋体" w:hAnsi="宋体" w:cs="宋体" w:eastAsia="宋体"/>
          <w:b w:val="true"/>
          <w:color w:val="000000"/>
          <w:sz w:val="36"/>
        </w:rPr>
        <w:t>单位</w:t>
      </w:r>
      <w:r>
        <w:rPr>
          <w:rFonts w:ascii="宋体" w:hAnsi="宋体" w:cs="宋体" w:eastAsia="宋体"/>
          <w:b w:val="true"/>
          <w:color w:val="000000"/>
          <w:sz w:val="36"/>
        </w:rPr>
        <w:t>决算情况说明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一、收入支出决算总体情况说明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2021年度收入、支出决算总计14,936.12万元。与上年相比，收、支总计各减少1,237.72万元，减少7.65%。其中：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（一）收入决算总计14,936.12万元。包括：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1.本年收入决算合计13,152.21万元。与上年相比，减少2,518.68万元，减少16.07%，变动原因：比2020年减少1900万国有资产处置收入、实训基地专项经费收入以及质量提升专项收入。</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2.使用非财政拨款结余0万元。与上年决算数相同。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年初结转和结余1,783.91万元。与上年相比，增加1,280.97万元，增长254.7%，变动原因：2020年度预算安排的焊接实训楼、2020年现代职业教育质量提升计划、实训基地等项目因疫情等原因无法按原计划实施，部分项目资金结转至2021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（二）支出决算总计14,936.12万元。包括：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1.本年支出决算合计14,872.48万元。与上年相比，增加482.55万元，增长3.35%，变动原因：教职工增加，人员经费增多；学校维护保障经费增加。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2.结余分配0万元。与上年决算数相同。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年末结转和结余63.64万元。结转和结余事项：航海模拟器实训基地结转40.23万元，基本支出结转23.41万元。与上年相比，减少1,720.27万元，减少96.43%，变动原因：2021年年初结转资金和本年预算资金基本按计划执行完毕，年末结转资金较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二、收入决算情况说明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2021年度本年收入决算合计13,152.21万元，其中：财政拨款收入10,453.59万元，占79.48%；上级补助收入0万元，占0%；财政专户管理教育收费2,350万元，占17.87%；事业收入（不含专户管理教育收费）0万元，占0%；经营收入0万元，占0%；附属单位上缴收入0万元，占0%；其他收入348.62万元，占2.65%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2"/>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三、支出决算情况说明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2021年度本年支出决算合计14,872.48万元，其中：基本支出11,837.71万元，占79.59%；项目支出3,034.77万元，占20.41%；上缴上级支出0万元，占0%；经营支出0万元，占0%；对附属单位补助支出0万元，占0%。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四、财政拨款收入支出决算总体情况说明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2021年度财政拨款收入、支出决算总计12,117.94万元。与上年相比，收、支总计各减少1,352.16万元，减少10.04%，变动原因：比2020年减少1900万国有资产处置收入、实训基地专项经费收入以及质量提升专项收入。</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五、财政拨款支出决算情况说明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2021年度财政拨款支出决算12,077.71万元，占本年支出合计的81.21%。与2021年度财政拨款支出年初预算9,296.59万元相比，完成年初预算的129.92%。其中：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（一）教育支出（类）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1.职业教育（款）中等职业教育（项）。年初预算7,992.08万元，支出决算10,492.83万元，完成年初预算的131.29%。决算数与年初预算数的差异原因：存在年度中间下达使用经费。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2.职业教育（款）高等职业教育（项）。年初预算0万元，支出决算6.6万元，（年初预算数为0万元，无法计算完成比率）。决算数与年初预算数的差异原因：存在年度中间下达使用经费。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1.行政事业单位养老支出（款）机关事业单位基本养老保险缴费支出（项）。年初预算660万元，支出决算660万元，完成年初预算的100%。决算数与年初预算数相同。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2.行政事业单位养老支出（款）机关事业单位职业年金缴费支出（项）。年初预算330万元，支出决算330万元，完成年初预算的100%。决算数与年初预算数相同。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（三）交通运输支出（类）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其他交通运输支出（款）其他交通运输支出（项）。年初预算0万元，支出决算273.77万元，（年初预算数为0万元，无法计算完成比率）。决算数与年初预算数的差异原因：项目资金年中下达使用。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住房改革支出（款）提租补贴（项）。年初预算314.51万元，支出决算314.51万元，完成年初预算的100%。决算数与年初预算数相同。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六、财政拨款基本支出决算情况说明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2021年度财政拨款基本支出决算9,082.94万元，其中：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hint="eastAsia" w:ascii="楷体" w:hAnsi="楷体" w:eastAsia="楷体" w:cs="楷体"/>
          <w:b w:val="0"/>
          <w:bCs w:val="0"/>
          <w:lang w:val="en-US"/>
        </w:rPr>
        <w:t/>
      </w:r>
      <w:r>
        <w:rPr>
          <w:rFonts w:ascii="楷体" w:hAnsi="楷体" w:cs="楷体" w:eastAsia="楷体"/>
        </w:rPr>
        <w:t>（一）人员经费8,160.56万元。</w:t>
      </w:r>
      <w:r>
        <w:rPr>
          <w:rFonts w:ascii="楷体" w:hAnsi="楷体" w:cs="楷体" w:eastAsia="楷体"/>
        </w:rPr>
        <w:t/>
      </w:r>
      <w:r>
        <w:rPr>
          <w:rFonts w:hint="eastAsia" w:ascii="仿宋" w:hAnsi="仿宋" w:eastAsia="仿宋" w:cs="仿宋"/>
          <w:b w:val="0"/>
          <w:bCs w:val="0"/>
          <w:lang w:val="en-US"/>
        </w:rPr>
        <w:t/>
      </w:r>
      <w:r>
        <w:rPr>
          <w:rFonts w:ascii="仿宋" w:hAnsi="仿宋" w:cs="仿宋" w:eastAsia="仿宋"/>
        </w:rPr>
        <w:t/>
      </w:r>
      <w:r>
        <w:rPr>
          <w:rFonts w:hint="eastAsia" w:ascii="楷体" w:hAnsi="楷体" w:eastAsia="楷体" w:cs="楷体"/>
          <w:b w:val="0"/>
          <w:bCs w:val="0"/>
          <w:lang w:val="en-US"/>
        </w:rPr>
        <w:t/>
      </w:r>
      <w:r>
        <w:rPr>
          <w:rFonts w:ascii="楷体" w:hAnsi="楷体" w:cs="楷体" w:eastAsia="楷体"/>
        </w:rPr>
        <w:t/>
      </w:r>
      <w:r>
        <w:rPr>
          <w:rFonts w:hint="eastAsia" w:ascii="仿宋" w:hAnsi="仿宋" w:eastAsia="仿宋" w:cs="仿宋"/>
          <w:b w:val="0"/>
          <w:bCs w:val="0"/>
          <w:lang w:val="en-US"/>
        </w:rPr>
        <w:t/>
      </w:r>
      <w:r>
        <w:rPr>
          <w:rFonts w:ascii="仿宋" w:hAnsi="仿宋" w:cs="仿宋" w:eastAsia="仿宋"/>
        </w:rPr>
        <w:t>主要包括：基本工资、津贴补贴、伙食补助费、绩效工资、机关事业单位基本养老保险缴费、职业年金缴费、职工基本医疗保险缴费、其他社会保障缴费、其他工资福利支出、离休费、退休费、抚恤金、生活补助、医疗费补助、助学金。</w:t>
      </w:r>
      <w:r>
        <w:rPr>
          <w:rFonts w:ascii="仿宋" w:hAnsi="仿宋" w:cs="仿宋" w:eastAsia="仿宋"/>
        </w:rPr>
        <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hint="eastAsia" w:ascii="楷体" w:hAnsi="楷体" w:eastAsia="楷体" w:cs="楷体"/>
          <w:b w:val="0"/>
          <w:bCs w:val="0"/>
          <w:lang w:val="en-US"/>
        </w:rPr>
        <w:t/>
      </w:r>
      <w:r>
        <w:rPr>
          <w:rFonts w:ascii="楷体" w:hAnsi="楷体" w:cs="楷体" w:eastAsia="楷体"/>
        </w:rPr>
        <w:t>（二）公用经费922.38万元。</w:t>
      </w:r>
      <w:r>
        <w:rPr>
          <w:rFonts w:ascii="楷体" w:hAnsi="楷体" w:cs="楷体" w:eastAsia="楷体"/>
        </w:rPr>
        <w:t/>
      </w:r>
      <w:r>
        <w:rPr>
          <w:rFonts w:hint="eastAsia" w:ascii="仿宋" w:hAnsi="仿宋" w:eastAsia="仿宋" w:cs="仿宋"/>
          <w:b w:val="0"/>
          <w:bCs w:val="0"/>
          <w:lang w:val="en-US"/>
        </w:rPr>
        <w:t/>
      </w:r>
      <w:r>
        <w:rPr>
          <w:rFonts w:ascii="仿宋" w:hAnsi="仿宋" w:cs="仿宋" w:eastAsia="仿宋"/>
        </w:rPr>
        <w:t/>
      </w:r>
      <w:r>
        <w:rPr>
          <w:rFonts w:hint="eastAsia" w:ascii="楷体" w:hAnsi="楷体" w:eastAsia="楷体" w:cs="楷体"/>
          <w:b w:val="0"/>
          <w:bCs w:val="0"/>
          <w:lang w:val="en-US"/>
        </w:rPr>
        <w:t/>
      </w:r>
      <w:r>
        <w:rPr>
          <w:rFonts w:ascii="楷体" w:hAnsi="楷体" w:cs="楷体" w:eastAsia="楷体"/>
        </w:rPr>
        <w:t/>
      </w:r>
      <w:r>
        <w:rPr>
          <w:rFonts w:hint="eastAsia" w:ascii="仿宋" w:hAnsi="仿宋" w:eastAsia="仿宋" w:cs="仿宋"/>
          <w:b w:val="0"/>
          <w:bCs w:val="0"/>
          <w:lang w:val="en-US"/>
        </w:rPr>
        <w:t/>
      </w:r>
      <w:r>
        <w:rPr>
          <w:rFonts w:ascii="仿宋" w:hAnsi="仿宋" w:cs="仿宋" w:eastAsia="仿宋"/>
        </w:rPr>
        <w:t>主要包括：办公费、手续费、水费、电费、邮电费、差旅费、维修（护）费、公务接待费、专用燃料费、劳务费、工会经费、福利费、公务用车运行维护费、其他交通费用、其他商品和服务支出。</w:t>
      </w:r>
      <w:r>
        <w:rPr>
          <w:rFonts w:ascii="仿宋" w:hAnsi="仿宋" w:cs="仿宋" w:eastAsia="仿宋"/>
        </w:rPr>
        <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七、一般公共预算支出决算情况说明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2021年度一般公共预算财政拨款支出决算12,077.71万元。与上年相比，增加271.96万元，增长2.3%，变动原因：教职工增加，人员经费增多，学校日常活动增多。</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八、一般公共预算基本支出决算情况说明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2021年度一般公共预算财政拨款基本支出决算9,082.94万元，其中：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hint="eastAsia" w:ascii="楷体" w:hAnsi="楷体" w:eastAsia="楷体" w:cs="楷体"/>
          <w:b w:val="0"/>
          <w:bCs w:val="0"/>
          <w:lang w:val="en-US"/>
        </w:rPr>
        <w:t/>
      </w:r>
      <w:r>
        <w:rPr>
          <w:rFonts w:ascii="楷体" w:hAnsi="楷体" w:cs="楷体" w:eastAsia="楷体"/>
        </w:rPr>
        <w:t>（一）人员经费8,160.56万元。</w:t>
      </w:r>
      <w:r>
        <w:rPr>
          <w:rFonts w:ascii="楷体" w:hAnsi="楷体" w:cs="楷体" w:eastAsia="楷体"/>
        </w:rPr>
        <w:t/>
      </w:r>
      <w:r>
        <w:rPr>
          <w:rFonts w:hint="eastAsia" w:ascii="仿宋" w:hAnsi="仿宋" w:eastAsia="仿宋" w:cs="仿宋"/>
          <w:b w:val="0"/>
          <w:bCs w:val="0"/>
          <w:lang w:val="en-US"/>
        </w:rPr>
        <w:t/>
      </w:r>
      <w:r>
        <w:rPr>
          <w:rFonts w:ascii="仿宋" w:hAnsi="仿宋" w:cs="仿宋" w:eastAsia="仿宋"/>
        </w:rPr>
        <w:t/>
      </w:r>
      <w:r>
        <w:rPr>
          <w:rFonts w:hint="eastAsia" w:ascii="楷体" w:hAnsi="楷体" w:eastAsia="楷体" w:cs="楷体"/>
          <w:b w:val="0"/>
          <w:bCs w:val="0"/>
          <w:lang w:val="en-US"/>
        </w:rPr>
        <w:t/>
      </w:r>
      <w:r>
        <w:rPr>
          <w:rFonts w:ascii="楷体" w:hAnsi="楷体" w:cs="楷体" w:eastAsia="楷体"/>
        </w:rPr>
        <w:t/>
      </w:r>
      <w:r>
        <w:rPr>
          <w:rFonts w:hint="eastAsia" w:ascii="仿宋" w:hAnsi="仿宋" w:eastAsia="仿宋" w:cs="仿宋"/>
          <w:b w:val="0"/>
          <w:bCs w:val="0"/>
          <w:lang w:val="en-US"/>
        </w:rPr>
        <w:t/>
      </w:r>
      <w:r>
        <w:rPr>
          <w:rFonts w:ascii="仿宋" w:hAnsi="仿宋" w:cs="仿宋" w:eastAsia="仿宋"/>
        </w:rPr>
        <w:t>主要包括：基本工资、津贴补贴、伙食补助费、绩效工资、机关事业单位基本养老保险缴费、职业年金缴费、职工基本医疗保险缴费、其他社会保障缴费、其他工资福利支出、离休费、退休费、抚恤金、生活补助、医疗费补助、助学金。</w:t>
      </w:r>
      <w:r>
        <w:rPr>
          <w:rFonts w:ascii="仿宋" w:hAnsi="仿宋" w:cs="仿宋" w:eastAsia="仿宋"/>
        </w:rPr>
        <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hint="eastAsia" w:ascii="楷体" w:hAnsi="楷体" w:eastAsia="楷体" w:cs="楷体"/>
          <w:b w:val="0"/>
          <w:bCs w:val="0"/>
          <w:lang w:val="en-US"/>
        </w:rPr>
        <w:t/>
      </w:r>
      <w:r>
        <w:rPr>
          <w:rFonts w:ascii="楷体" w:hAnsi="楷体" w:cs="楷体" w:eastAsia="楷体"/>
        </w:rPr>
        <w:t>（二）公用经费922.38万元。</w:t>
      </w:r>
      <w:r>
        <w:rPr>
          <w:rFonts w:ascii="楷体" w:hAnsi="楷体" w:cs="楷体" w:eastAsia="楷体"/>
        </w:rPr>
        <w:t/>
      </w:r>
      <w:r>
        <w:rPr>
          <w:rFonts w:hint="eastAsia" w:ascii="仿宋" w:hAnsi="仿宋" w:eastAsia="仿宋" w:cs="仿宋"/>
          <w:b w:val="0"/>
          <w:bCs w:val="0"/>
          <w:lang w:val="en-US"/>
        </w:rPr>
        <w:t/>
      </w:r>
      <w:r>
        <w:rPr>
          <w:rFonts w:ascii="仿宋" w:hAnsi="仿宋" w:cs="仿宋" w:eastAsia="仿宋"/>
        </w:rPr>
        <w:t/>
      </w:r>
      <w:r>
        <w:rPr>
          <w:rFonts w:hint="eastAsia" w:ascii="楷体" w:hAnsi="楷体" w:eastAsia="楷体" w:cs="楷体"/>
          <w:b w:val="0"/>
          <w:bCs w:val="0"/>
          <w:lang w:val="en-US"/>
        </w:rPr>
        <w:t/>
      </w:r>
      <w:r>
        <w:rPr>
          <w:rFonts w:ascii="楷体" w:hAnsi="楷体" w:cs="楷体" w:eastAsia="楷体"/>
        </w:rPr>
        <w:t/>
      </w:r>
      <w:r>
        <w:rPr>
          <w:rFonts w:hint="eastAsia" w:ascii="仿宋" w:hAnsi="仿宋" w:eastAsia="仿宋" w:cs="仿宋"/>
          <w:b w:val="0"/>
          <w:bCs w:val="0"/>
          <w:lang w:val="en-US"/>
        </w:rPr>
        <w:t/>
      </w:r>
      <w:r>
        <w:rPr>
          <w:rFonts w:ascii="仿宋" w:hAnsi="仿宋" w:cs="仿宋" w:eastAsia="仿宋"/>
        </w:rPr>
        <w:t>主要包括：办公费、手续费、水费、电费、邮电费、差旅费、维修（护）费、公务接待费、专用燃料费、劳务费、工会经费、福利费、公务用车运行维护费、其他交通费用、其他商品和服务支出。</w:t>
      </w:r>
      <w:r>
        <w:rPr>
          <w:rFonts w:ascii="仿宋" w:hAnsi="仿宋" w:cs="仿宋" w:eastAsia="仿宋"/>
        </w:rPr>
        <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（一）一般公共预算“三公”经费支出总体情况说明。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2021年度一般公共预算“三公”经费支出决算9.24万元。与上年相比，增加0.65万元，变动原因：学校日常活动增多。其中，因公出国（境）费支出0万元，占“三公”经费的0%；公务用车购置及运行维护费支出5.6万元，占“三公”经费的60.61%；公务接待费支出3.64万元，占“三公”经费的39.39%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（二）一般公共预算“三公”经费支出具体情况说明。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1．因公出国（境）费支出预算0万元，支出决算0万元，完成预算的100%，决算数与预算数相同。全年使用一般公共预算财政拨款涉及的出国（境）团组0个，累计0人次。</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2．公务用车购置及运行维护费支出预算5.6万元，支出决算5.6万元，完成预算的100%，决算数与预算数相同。其中：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（1）公务用车购置支出决算0万元。本年度使用一般公共预算财政拨款购置公务用车0辆。</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支出决算5.6万元。公务用车运行维护费主要用于按规定保留的公务用车的燃料费、维修费、过桥过路费、保险费、安全奖励费用等支出。截至2021年12月31日，使用一般公共预算财政拨款开支的公务用车保有量为3辆。</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支出预算30万元，支出决算3.64万元，完成预算的12.13%，决算数与预算数的差异原因：严控支出，落实过紧日子要求。其中：国内公务接待支出3.64万元，接待36批次，279人次，开支内容：接待有关企业、院校、行政机关人员来访；国（境）外公务接待支出0万元，接待0批次0人次。</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（三）一般公共预算会议费支出决算情况说明。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2021年度一般公共预算财政拨款会议费支出预算0万元，支出决算0万元，完成预算的100%，决算数与预算数相同。2021年度全年召开会议0个，参加会议0人次。</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（四）一般公共预算培训费支出决算情况说明。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2021年度一般公共预算财政拨款培训费支出预算0万元，支出决算0万元，完成预算的100%，决算数与预算数相同。2021年度全年组织培训0个，组织培训0人次。</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十、政府性基金预算财政拨款支出决算情况说明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2021年度政府性基金预算财政拨款支出决算0万元。与上年决算数相同。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十一、国有资本经营预算财政拨款支出决算情况说明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2021年度国有资本经营预算财政拨款支出决算0万元。与上年决算数相同。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十二、一般公共预算机关运行经费支出决算情况说明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2021年度机关运行经费支出决算0万元。与上年决算数相同。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十三、政府采购支出决算情况说明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2021年度政府采购支出总额1,026.73万元，其中：政府采购货物支出954.89万元、政府采购工程支出22.95万元、政府采购服务支出48.9万元。政府采购授予中小企业合同金额568.23万元，占政府采购支出总额的55.34%，其中：授予小微企业合同金额458.51万元，占政府采购支出总额的44.66%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截至2021年12月31日，本单位共有车辆3辆，其中：副部(省)级及以上领导用车0辆、主要领导干部用车0辆、机要通信用车0辆、应急保障用车0辆、执法执勤用车0辆、特种专业技术用车0辆、离退休干部用车0辆、其他用车3辆；单价50万元（含）以上的通用设备7台（套），单价100万元（含）以上的专用设备10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十五、预算绩效评价工作开展情况</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2021年度，本单位共2个项目开展了财政重点绩效评价，涉及财政性资金合计304.65万元；本单位开展单位整体支出财政重点绩效评价，涉及财政性资金12,566.4万元。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本单位共对上年度已实施完成的0个项目开展了绩效自评价，涉及财政性资金合计0万元；本单位共开展1项单位整体支出绩效自评价，涉及财政性资金合计13,313.37万元。</w:t>
      </w:r>
      <w:r>
        <w:rPr>
          <w:rFonts w:ascii="仿宋" w:hAnsi="仿宋" w:cs="仿宋" w:eastAsia="仿宋"/>
        </w:rPr>
        <w:t/>
      </w:r>
    </w:p>
    <w:p>
      <w:pPr>
        <w:pStyle w:val="5"/>
        <w:tabs>
          <w:tab w:val="left" w:pos="3077"/>
        </w:tabs>
        <w:spacing w:line="616" w:lineRule="exact"/>
        <w:jc w:val="center"/>
        <w:outlineLvl w:val="0"/>
        <w:rPr>
          <w:rFonts w:hint="eastAsia" w:ascii="宋体" w:hAnsi="宋体" w:eastAsia="宋体" w:cs="宋体"/>
          <w:b/>
          <w:bCs/>
          <w:sz w:val="36"/>
          <w:szCs w:val="36"/>
        </w:rPr>
      </w:pPr>
      <w:r>
        <w:rPr>
          <w:rFonts w:hint="eastAsia" w:ascii="宋体" w:hAnsi="宋体" w:eastAsia="宋体" w:cs="宋体"/>
          <w:b/>
          <w:bCs/>
          <w:sz w:val="36"/>
          <w:szCs w:val="36"/>
        </w:rPr>
        <w:t>第四部分 名词</w:t>
      </w:r>
      <w:r>
        <w:rPr>
          <w:rFonts w:hint="eastAsia" w:ascii="宋体" w:hAnsi="宋体" w:eastAsia="宋体" w:cs="宋体"/>
          <w:b/>
          <w:bCs/>
          <w:color w:val="000000"/>
          <w:kern w:val="0"/>
          <w:sz w:val="36"/>
          <w:szCs w:val="36"/>
          <w:lang w:val="zh-CN" w:eastAsia="ar-SA" w:bidi="zh-CN"/>
        </w:rPr>
        <w:t>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一、财政拨款收入</w:t>
      </w:r>
      <w:r>
        <w:rPr>
          <w:rFonts w:ascii="仿宋" w:hAnsi="仿宋" w:cs="仿宋" w:eastAsia="仿宋"/>
          <w:b w:val="true"/>
        </w:rPr>
        <w:t>：</w:t>
      </w:r>
      <w:r>
        <w:rPr>
          <w:rFonts w:hint="eastAsia" w:ascii="仿宋" w:hAnsi="仿宋" w:eastAsia="仿宋" w:cs="仿宋"/>
        </w:rPr>
        <w:t>指单位从同级财政部门取得的各类财政拨款，包括一般公共预算财政拨款、政府性基金预算财政拨款、国有资本经营预算财政拨款。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二、上级补助收入</w:t>
      </w:r>
      <w:r>
        <w:rPr>
          <w:rFonts w:ascii="仿宋" w:hAnsi="仿宋" w:cs="仿宋" w:eastAsia="仿宋"/>
          <w:b w:val="true"/>
        </w:rPr>
        <w:t>：</w:t>
      </w:r>
      <w:r>
        <w:rPr>
          <w:rFonts w:hint="eastAsia" w:ascii="仿宋" w:hAnsi="仿宋" w:eastAsia="仿宋" w:cs="仿宋"/>
        </w:rPr>
        <w:t>指事业单位从主管部门和上级单位取得的非财政补助收入。</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三、财政专户管理教育收费</w:t>
      </w:r>
      <w:r>
        <w:rPr>
          <w:rFonts w:ascii="仿宋" w:hAnsi="仿宋" w:cs="仿宋" w:eastAsia="仿宋"/>
          <w:b w:val="true"/>
        </w:rPr>
        <w:t>：</w:t>
      </w:r>
      <w:r>
        <w:rPr>
          <w:rFonts w:hint="eastAsia" w:ascii="仿宋" w:hAnsi="仿宋" w:eastAsia="仿宋" w:cs="仿宋"/>
        </w:rPr>
        <w:t>指缴入财政专户、实行专项管理的高中以上学费、住宿费、高校委托培养费、函大、电大、夜大及短训班培训费等教育收费。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四、事业收入</w:t>
      </w:r>
      <w:r>
        <w:rPr>
          <w:rFonts w:ascii="仿宋" w:hAnsi="仿宋" w:cs="仿宋" w:eastAsia="仿宋"/>
          <w:b w:val="true"/>
        </w:rPr>
        <w:t>：</w:t>
      </w:r>
      <w:r>
        <w:rPr>
          <w:rFonts w:hint="eastAsia" w:ascii="仿宋" w:hAnsi="仿宋" w:eastAsia="仿宋" w:cs="仿宋"/>
        </w:rPr>
        <w:t>指事业单位开展专业业务活动及其辅助活动取得的收入。</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五、经营收入</w:t>
      </w:r>
      <w:r>
        <w:rPr>
          <w:rFonts w:ascii="仿宋" w:hAnsi="仿宋" w:cs="仿宋" w:eastAsia="仿宋"/>
          <w:b w:val="true"/>
        </w:rPr>
        <w:t>：</w:t>
      </w:r>
      <w:r>
        <w:rPr>
          <w:rFonts w:hint="eastAsia" w:ascii="仿宋" w:hAnsi="仿宋" w:eastAsia="仿宋" w:cs="仿宋"/>
        </w:rPr>
        <w:t>指事业单位在专业业务活动及其辅助活动之外开展非独立核算经营活动取得的收入。</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六、附属单位上缴收入</w:t>
      </w:r>
      <w:r>
        <w:rPr>
          <w:rFonts w:ascii="仿宋" w:hAnsi="仿宋" w:cs="仿宋" w:eastAsia="仿宋"/>
          <w:b w:val="true"/>
        </w:rPr>
        <w:t>：</w:t>
      </w:r>
      <w:r>
        <w:rPr>
          <w:rFonts w:hint="eastAsia" w:ascii="仿宋" w:hAnsi="仿宋" w:eastAsia="仿宋" w:cs="仿宋"/>
        </w:rPr>
        <w:t>指事业单位附属独立核算单位按照有关规定上缴的收入。</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七、其他收入</w:t>
      </w:r>
      <w:r>
        <w:rPr>
          <w:rFonts w:ascii="仿宋" w:hAnsi="仿宋" w:cs="仿宋" w:eastAsia="仿宋"/>
          <w:b w:val="true"/>
        </w:rPr>
        <w:t>：</w:t>
      </w:r>
      <w:r>
        <w:rPr>
          <w:rFonts w:hint="eastAsia" w:ascii="仿宋" w:hAnsi="仿宋" w:eastAsia="仿宋" w:cs="仿宋"/>
        </w:rPr>
        <w:t>指单位取得的除上述“财政拨款收入”、 “上级补助收入”、“事业收入”、“经营收入”、“附属单位上缴收入”等以外的各项收入。</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八、使用非财政拨款结余</w:t>
      </w:r>
      <w:r>
        <w:rPr>
          <w:rFonts w:ascii="仿宋" w:hAnsi="仿宋" w:cs="仿宋" w:eastAsia="仿宋"/>
          <w:b w:val="true"/>
        </w:rPr>
        <w:t>：</w:t>
      </w:r>
      <w:r>
        <w:rPr>
          <w:rFonts w:hint="eastAsia" w:ascii="仿宋" w:hAnsi="仿宋" w:eastAsia="仿宋" w:cs="仿宋"/>
        </w:rPr>
        <w:t>指事业单位按照预算管理要求使用非财政拨款结余（原事业基金）弥补当年收支差额的数额。</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九、年初结转和结余</w:t>
      </w:r>
      <w:r>
        <w:rPr>
          <w:rFonts w:ascii="仿宋" w:hAnsi="仿宋" w:cs="仿宋" w:eastAsia="仿宋"/>
          <w:b w:val="true"/>
        </w:rPr>
        <w:t>：</w:t>
      </w:r>
      <w:r>
        <w:rPr>
          <w:rFonts w:hint="eastAsia" w:ascii="仿宋" w:hAnsi="仿宋" w:eastAsia="仿宋" w:cs="仿宋"/>
        </w:rPr>
        <w:t>指单位上年结转本年使用的基本支出结转、项目支出结转和结余、经营结余。</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十、结余分配</w:t>
      </w:r>
      <w:r>
        <w:rPr>
          <w:rFonts w:ascii="仿宋" w:hAnsi="仿宋" w:cs="仿宋" w:eastAsia="仿宋"/>
          <w:b w:val="true"/>
        </w:rPr>
        <w:t>：</w:t>
      </w:r>
      <w:r>
        <w:rPr>
          <w:rFonts w:hint="eastAsia" w:ascii="仿宋" w:hAnsi="仿宋" w:eastAsia="仿宋" w:cs="仿宋"/>
        </w:rPr>
        <w:t>指事业单位按规定缴纳的所得税以及从非财政拨款结余中提取各类结余的情况。</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十一、年末结转和结余资金</w:t>
      </w:r>
      <w:r>
        <w:rPr>
          <w:rFonts w:ascii="仿宋" w:hAnsi="仿宋" w:cs="仿宋" w:eastAsia="仿宋"/>
          <w:b w:val="true"/>
        </w:rPr>
        <w:t>：</w:t>
      </w:r>
      <w:r>
        <w:rPr>
          <w:rFonts w:hint="eastAsia" w:ascii="仿宋" w:hAnsi="仿宋" w:eastAsia="仿宋" w:cs="仿宋"/>
        </w:rPr>
        <w:t>指单位结转下年的基本支出结转、项目支出结转和结余、经营结余。</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十二、基本支出</w:t>
      </w:r>
      <w:r>
        <w:rPr>
          <w:rFonts w:ascii="仿宋" w:hAnsi="仿宋" w:cs="仿宋" w:eastAsia="仿宋"/>
          <w:b w:val="true"/>
        </w:rPr>
        <w:t>：</w:t>
      </w:r>
      <w:r>
        <w:rPr>
          <w:rFonts w:hint="eastAsia" w:ascii="仿宋" w:hAnsi="仿宋" w:eastAsia="仿宋" w:cs="仿宋"/>
        </w:rPr>
        <w:t>指为保障机构正常运转、完成日常工作任务所发生的支出，包括人员经费和公用经费。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十三、项目支出</w:t>
      </w:r>
      <w:r>
        <w:rPr>
          <w:rFonts w:ascii="仿宋" w:hAnsi="仿宋" w:cs="仿宋" w:eastAsia="仿宋"/>
          <w:b w:val="true"/>
        </w:rPr>
        <w:t>：</w:t>
      </w:r>
      <w:r>
        <w:rPr>
          <w:rFonts w:hint="eastAsia" w:ascii="仿宋" w:hAnsi="仿宋" w:eastAsia="仿宋" w:cs="仿宋"/>
        </w:rPr>
        <w:t>指在为完成特定的工作任务和事业发展目标所发生的支出。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十四、上缴上级支出</w:t>
      </w:r>
      <w:r>
        <w:rPr>
          <w:rFonts w:ascii="仿宋" w:hAnsi="仿宋" w:cs="仿宋" w:eastAsia="仿宋"/>
          <w:b w:val="true"/>
        </w:rPr>
        <w:t>：</w:t>
      </w:r>
      <w:r>
        <w:rPr>
          <w:rFonts w:hint="eastAsia" w:ascii="仿宋" w:hAnsi="仿宋" w:eastAsia="仿宋" w:cs="仿宋"/>
        </w:rPr>
        <w:t>指事业单位按照财政部门和主管部门的规定上缴上级单位的支出。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十五、经营支出</w:t>
      </w:r>
      <w:r>
        <w:rPr>
          <w:rFonts w:ascii="仿宋" w:hAnsi="仿宋" w:cs="仿宋" w:eastAsia="仿宋"/>
          <w:b w:val="true"/>
        </w:rPr>
        <w:t>：</w:t>
      </w:r>
      <w:r>
        <w:rPr>
          <w:rFonts w:hint="eastAsia" w:ascii="仿宋" w:hAnsi="仿宋" w:eastAsia="仿宋" w:cs="仿宋"/>
        </w:rPr>
        <w:t>指事业单位在专业业务活动及其辅助活动之外开展非独立核算经营活动发生的支出。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十六、对附属单位补助支出</w:t>
      </w:r>
      <w:r>
        <w:rPr>
          <w:rFonts w:ascii="仿宋" w:hAnsi="仿宋" w:cs="仿宋" w:eastAsia="仿宋"/>
          <w:b w:val="true"/>
        </w:rPr>
        <w:t>：</w:t>
      </w:r>
      <w:r>
        <w:rPr>
          <w:rFonts w:hint="eastAsia" w:ascii="仿宋" w:hAnsi="仿宋" w:eastAsia="仿宋" w:cs="仿宋"/>
        </w:rPr>
        <w:t>指事业单位用财政拨款收入之外的收入对附属单位补助发生的支出。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十八、机关运行经费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十九、教育支出(类)职业教育(款)中等职业教育(项)</w:t>
      </w:r>
      <w:r>
        <w:rPr>
          <w:rFonts w:ascii="仿宋" w:hAnsi="仿宋" w:cs="仿宋" w:eastAsia="仿宋"/>
          <w:b w:val="true"/>
        </w:rPr>
        <w:t>：</w:t>
      </w:r>
      <w:r>
        <w:rPr>
          <w:rFonts w:hint="eastAsia" w:ascii="仿宋" w:hAnsi="仿宋" w:eastAsia="仿宋" w:cs="仿宋"/>
        </w:rPr>
        <w:t>反映各部门（不含人力资源社会保障部门）举办的中等职业学校支出。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二十、教育支出(类)职业教育(款)高等职业教育(项)</w:t>
      </w:r>
      <w:r>
        <w:rPr>
          <w:rFonts w:ascii="仿宋" w:hAnsi="仿宋" w:cs="仿宋" w:eastAsia="仿宋"/>
          <w:b w:val="true"/>
        </w:rPr>
        <w:t>：</w:t>
      </w:r>
      <w:r>
        <w:rPr>
          <w:rFonts w:hint="eastAsia" w:ascii="仿宋" w:hAnsi="仿宋" w:eastAsia="仿宋" w:cs="仿宋"/>
        </w:rPr>
        <w:t>反映经国家批准设立的高等职业大学、专科职业教育等方面的支出。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二十一、社会保障和就业支出(类)行政事业单位养老支出(款)机关事业单位基本养老保险缴费支出(项)</w:t>
      </w:r>
      <w:r>
        <w:rPr>
          <w:rFonts w:ascii="仿宋" w:hAnsi="仿宋" w:cs="仿宋" w:eastAsia="仿宋"/>
          <w:b w:val="true"/>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二十二、社会保障和就业支出(类)行政事业单位养老支出(款)机关事业单位职业年金缴费支出(项)</w:t>
      </w:r>
      <w:r>
        <w:rPr>
          <w:rFonts w:ascii="仿宋" w:hAnsi="仿宋" w:cs="仿宋" w:eastAsia="仿宋"/>
          <w:b w:val="true"/>
        </w:rPr>
        <w:t>：</w:t>
      </w:r>
      <w:r>
        <w:rPr>
          <w:rFonts w:hint="eastAsia" w:ascii="仿宋" w:hAnsi="仿宋" w:eastAsia="仿宋" w:cs="仿宋"/>
        </w:rPr>
        <w:t>反映机关事业单位实施养老保险制度由单位实际缴纳的职业年金支出。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二十三、交通运输支出(类)其他交通运输支出(款)其他交通运输支出(项)</w:t>
      </w:r>
      <w:r>
        <w:rPr>
          <w:rFonts w:ascii="仿宋" w:hAnsi="仿宋" w:cs="仿宋" w:eastAsia="仿宋"/>
          <w:b w:val="true"/>
        </w:rPr>
        <w:t>：</w:t>
      </w:r>
      <w:r>
        <w:rPr>
          <w:rFonts w:hint="eastAsia" w:ascii="仿宋" w:hAnsi="仿宋" w:eastAsia="仿宋" w:cs="仿宋"/>
        </w:rPr>
        <w:t>反映其他交通运输支出中除对公共交通运营补助以外的其他支出。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二十四、住房保障支出(类)住房改革支出(款)住房公积金(项)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二十五、住房保障支出(类)住房改革支出(款)提租补贴(项)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440" w:right="1080" w:bottom="1440" w:left="108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江苏省无锡交通高等职业技术学校</w:t>
    </w:r>
    <w:r>
      <w:t>2021年度</w:t>
    </w:r>
    <w:r>
      <w:t>单位</w:t>
    </w:r>
    <w:r>
      <w:t>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789"/>
    <w:rsid w:val="000F12AB"/>
    <w:rsid w:val="001C31F9"/>
    <w:rsid w:val="002E63B1"/>
    <w:rsid w:val="00407CA7"/>
    <w:rsid w:val="00413AD8"/>
    <w:rsid w:val="004C0647"/>
    <w:rsid w:val="00671ED7"/>
    <w:rsid w:val="00672164"/>
    <w:rsid w:val="006732F1"/>
    <w:rsid w:val="008322BB"/>
    <w:rsid w:val="00867423"/>
    <w:rsid w:val="008B5B05"/>
    <w:rsid w:val="009965EA"/>
    <w:rsid w:val="00A6752E"/>
    <w:rsid w:val="00B92181"/>
    <w:rsid w:val="00BD7F33"/>
    <w:rsid w:val="00C15920"/>
    <w:rsid w:val="00C82582"/>
    <w:rsid w:val="00FA3233"/>
    <w:rsid w:val="010F1E77"/>
    <w:rsid w:val="01536131"/>
    <w:rsid w:val="01657C13"/>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461F7D"/>
    <w:rsid w:val="044E689B"/>
    <w:rsid w:val="0458580D"/>
    <w:rsid w:val="045E5FB7"/>
    <w:rsid w:val="049256F0"/>
    <w:rsid w:val="0495610D"/>
    <w:rsid w:val="04C730A4"/>
    <w:rsid w:val="04DA4474"/>
    <w:rsid w:val="04DF580C"/>
    <w:rsid w:val="04E946A2"/>
    <w:rsid w:val="04EA46EB"/>
    <w:rsid w:val="05185546"/>
    <w:rsid w:val="052126A9"/>
    <w:rsid w:val="05247FC3"/>
    <w:rsid w:val="05346113"/>
    <w:rsid w:val="05423E9C"/>
    <w:rsid w:val="05600A24"/>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A6451"/>
    <w:rsid w:val="064C13A1"/>
    <w:rsid w:val="06542957"/>
    <w:rsid w:val="0681129C"/>
    <w:rsid w:val="06824DC3"/>
    <w:rsid w:val="0695552F"/>
    <w:rsid w:val="069B5E85"/>
    <w:rsid w:val="06C87B62"/>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DA70C2"/>
    <w:rsid w:val="0AFD463B"/>
    <w:rsid w:val="0B05614C"/>
    <w:rsid w:val="0B134992"/>
    <w:rsid w:val="0B160131"/>
    <w:rsid w:val="0B2B4189"/>
    <w:rsid w:val="0B392278"/>
    <w:rsid w:val="0B675A6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E7568"/>
    <w:rsid w:val="0E662847"/>
    <w:rsid w:val="0E854C8B"/>
    <w:rsid w:val="0E94230E"/>
    <w:rsid w:val="0E946F22"/>
    <w:rsid w:val="0EA37FCC"/>
    <w:rsid w:val="0EE7610B"/>
    <w:rsid w:val="0EF65551"/>
    <w:rsid w:val="0EFE25F0"/>
    <w:rsid w:val="0F135152"/>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868DE"/>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5A4782"/>
    <w:rsid w:val="1D623037"/>
    <w:rsid w:val="1D660B43"/>
    <w:rsid w:val="1D672CB3"/>
    <w:rsid w:val="1D7C0925"/>
    <w:rsid w:val="1D817975"/>
    <w:rsid w:val="1D951979"/>
    <w:rsid w:val="1DAF110E"/>
    <w:rsid w:val="1DB61054"/>
    <w:rsid w:val="1DC835AB"/>
    <w:rsid w:val="1DC94431"/>
    <w:rsid w:val="1DD41F50"/>
    <w:rsid w:val="1DF7725D"/>
    <w:rsid w:val="1DFC3255"/>
    <w:rsid w:val="1DFD14A7"/>
    <w:rsid w:val="1E107489"/>
    <w:rsid w:val="1E120047"/>
    <w:rsid w:val="1E2456FC"/>
    <w:rsid w:val="1E387717"/>
    <w:rsid w:val="1E426EBA"/>
    <w:rsid w:val="1E5227F5"/>
    <w:rsid w:val="1E5B1486"/>
    <w:rsid w:val="1E6037E4"/>
    <w:rsid w:val="1E6C2CB1"/>
    <w:rsid w:val="1E86604F"/>
    <w:rsid w:val="1E8B2478"/>
    <w:rsid w:val="1EA55F87"/>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3F3B84"/>
    <w:rsid w:val="2148186B"/>
    <w:rsid w:val="21776D10"/>
    <w:rsid w:val="218F0CEB"/>
    <w:rsid w:val="21A47E8B"/>
    <w:rsid w:val="21B52099"/>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655593"/>
    <w:rsid w:val="23873CA0"/>
    <w:rsid w:val="23A668C2"/>
    <w:rsid w:val="23B5012E"/>
    <w:rsid w:val="23C6058D"/>
    <w:rsid w:val="23CC2CE3"/>
    <w:rsid w:val="23E97DD8"/>
    <w:rsid w:val="23F81D1C"/>
    <w:rsid w:val="24004EF0"/>
    <w:rsid w:val="242552B4"/>
    <w:rsid w:val="242D23BA"/>
    <w:rsid w:val="24361C71"/>
    <w:rsid w:val="245222E6"/>
    <w:rsid w:val="2455798C"/>
    <w:rsid w:val="246851A0"/>
    <w:rsid w:val="246E4FE1"/>
    <w:rsid w:val="247771B1"/>
    <w:rsid w:val="24797436"/>
    <w:rsid w:val="24893698"/>
    <w:rsid w:val="248A0DA1"/>
    <w:rsid w:val="248B0DC9"/>
    <w:rsid w:val="24AC7248"/>
    <w:rsid w:val="24B228BF"/>
    <w:rsid w:val="24DE364C"/>
    <w:rsid w:val="24EF440E"/>
    <w:rsid w:val="25007ACF"/>
    <w:rsid w:val="25076767"/>
    <w:rsid w:val="25191A92"/>
    <w:rsid w:val="25290357"/>
    <w:rsid w:val="253C3B25"/>
    <w:rsid w:val="25513E86"/>
    <w:rsid w:val="255F5B0A"/>
    <w:rsid w:val="25664EB1"/>
    <w:rsid w:val="257302A1"/>
    <w:rsid w:val="2573629D"/>
    <w:rsid w:val="257B7E43"/>
    <w:rsid w:val="25A7022D"/>
    <w:rsid w:val="25C32FD6"/>
    <w:rsid w:val="25C603D0"/>
    <w:rsid w:val="25E1520A"/>
    <w:rsid w:val="25E2513A"/>
    <w:rsid w:val="25F45922"/>
    <w:rsid w:val="25FD2F48"/>
    <w:rsid w:val="261E645E"/>
    <w:rsid w:val="262E21CA"/>
    <w:rsid w:val="26713F63"/>
    <w:rsid w:val="26753166"/>
    <w:rsid w:val="267B561B"/>
    <w:rsid w:val="267C5A99"/>
    <w:rsid w:val="2682148D"/>
    <w:rsid w:val="268D22B5"/>
    <w:rsid w:val="269240CC"/>
    <w:rsid w:val="269A47B4"/>
    <w:rsid w:val="269E759F"/>
    <w:rsid w:val="26A526DC"/>
    <w:rsid w:val="26A5448A"/>
    <w:rsid w:val="26BF5BA2"/>
    <w:rsid w:val="26CB1A16"/>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1B36C2"/>
    <w:rsid w:val="2B3C1AAA"/>
    <w:rsid w:val="2B77216D"/>
    <w:rsid w:val="2B7A42C1"/>
    <w:rsid w:val="2B82668D"/>
    <w:rsid w:val="2B8C19B3"/>
    <w:rsid w:val="2B9A7EB4"/>
    <w:rsid w:val="2BB8407D"/>
    <w:rsid w:val="2BBE24DE"/>
    <w:rsid w:val="2BBF0C02"/>
    <w:rsid w:val="2BDD28EB"/>
    <w:rsid w:val="2BE5357A"/>
    <w:rsid w:val="2BEC66B7"/>
    <w:rsid w:val="2BF43094"/>
    <w:rsid w:val="2BF909AA"/>
    <w:rsid w:val="2BFC0D12"/>
    <w:rsid w:val="2C016606"/>
    <w:rsid w:val="2C0757B7"/>
    <w:rsid w:val="2C153E60"/>
    <w:rsid w:val="2C1E422F"/>
    <w:rsid w:val="2C3818FC"/>
    <w:rsid w:val="2C5950A4"/>
    <w:rsid w:val="2C660130"/>
    <w:rsid w:val="2C73502A"/>
    <w:rsid w:val="2CB9711D"/>
    <w:rsid w:val="2CEA52EC"/>
    <w:rsid w:val="2CF3363A"/>
    <w:rsid w:val="2D000C25"/>
    <w:rsid w:val="2D0F4DB4"/>
    <w:rsid w:val="2D2D36A5"/>
    <w:rsid w:val="2D365B16"/>
    <w:rsid w:val="2D4B38B1"/>
    <w:rsid w:val="2D5646DC"/>
    <w:rsid w:val="2D584691"/>
    <w:rsid w:val="2D6D2070"/>
    <w:rsid w:val="2D9D0838"/>
    <w:rsid w:val="2D9E1C33"/>
    <w:rsid w:val="2DB652A4"/>
    <w:rsid w:val="2DB943B8"/>
    <w:rsid w:val="2DBB2419"/>
    <w:rsid w:val="2DBF7001"/>
    <w:rsid w:val="2DC26166"/>
    <w:rsid w:val="2DD13DB6"/>
    <w:rsid w:val="2DD903A8"/>
    <w:rsid w:val="2DEA2F76"/>
    <w:rsid w:val="2DF041FF"/>
    <w:rsid w:val="2DF76E1B"/>
    <w:rsid w:val="2DFD2DFD"/>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7BE"/>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A0575D"/>
    <w:rsid w:val="38A14437"/>
    <w:rsid w:val="38AC16A8"/>
    <w:rsid w:val="38B577A9"/>
    <w:rsid w:val="38B74C05"/>
    <w:rsid w:val="38CC421D"/>
    <w:rsid w:val="38D16635"/>
    <w:rsid w:val="38D373E7"/>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814A4"/>
    <w:rsid w:val="3C3D7460"/>
    <w:rsid w:val="3C616C4D"/>
    <w:rsid w:val="3C6248AD"/>
    <w:rsid w:val="3C820BF8"/>
    <w:rsid w:val="3C9A772E"/>
    <w:rsid w:val="3CB974FB"/>
    <w:rsid w:val="3CD16A6C"/>
    <w:rsid w:val="3CFF2A56"/>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ED50AE"/>
    <w:rsid w:val="45FD0891"/>
    <w:rsid w:val="46185D52"/>
    <w:rsid w:val="46192347"/>
    <w:rsid w:val="46252A99"/>
    <w:rsid w:val="462C285E"/>
    <w:rsid w:val="4639249F"/>
    <w:rsid w:val="463A0304"/>
    <w:rsid w:val="464A4975"/>
    <w:rsid w:val="465670F7"/>
    <w:rsid w:val="4665558C"/>
    <w:rsid w:val="467C2D95"/>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8B2726"/>
    <w:rsid w:val="4F8B4457"/>
    <w:rsid w:val="4FA41146"/>
    <w:rsid w:val="4FA90297"/>
    <w:rsid w:val="4FD80B7D"/>
    <w:rsid w:val="4FDA01F8"/>
    <w:rsid w:val="4FE561E5"/>
    <w:rsid w:val="4FF221C3"/>
    <w:rsid w:val="4FF5172F"/>
    <w:rsid w:val="4FFA0634"/>
    <w:rsid w:val="500032A2"/>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1024103"/>
    <w:rsid w:val="51025571"/>
    <w:rsid w:val="51071719"/>
    <w:rsid w:val="510819A0"/>
    <w:rsid w:val="51200E5F"/>
    <w:rsid w:val="5123009E"/>
    <w:rsid w:val="512C2CA7"/>
    <w:rsid w:val="512D289E"/>
    <w:rsid w:val="514152FB"/>
    <w:rsid w:val="51434ED1"/>
    <w:rsid w:val="514D0397"/>
    <w:rsid w:val="51595CED"/>
    <w:rsid w:val="516445A0"/>
    <w:rsid w:val="518956A9"/>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8686F"/>
    <w:rsid w:val="59B86AAB"/>
    <w:rsid w:val="59BF5B8E"/>
    <w:rsid w:val="59D027D3"/>
    <w:rsid w:val="59DE0C7A"/>
    <w:rsid w:val="59F04D56"/>
    <w:rsid w:val="59FD5DAF"/>
    <w:rsid w:val="5A125C89"/>
    <w:rsid w:val="5A417D7A"/>
    <w:rsid w:val="5A4C2893"/>
    <w:rsid w:val="5A4F7A61"/>
    <w:rsid w:val="5A6279C1"/>
    <w:rsid w:val="5A690D4F"/>
    <w:rsid w:val="5A852ECF"/>
    <w:rsid w:val="5A9C1659"/>
    <w:rsid w:val="5AA026B8"/>
    <w:rsid w:val="5AA116D7"/>
    <w:rsid w:val="5AAC7C87"/>
    <w:rsid w:val="5ADA1FF9"/>
    <w:rsid w:val="5AE821DA"/>
    <w:rsid w:val="5AED557F"/>
    <w:rsid w:val="5AF20641"/>
    <w:rsid w:val="5AFD1904"/>
    <w:rsid w:val="5B1552F3"/>
    <w:rsid w:val="5B2B4256"/>
    <w:rsid w:val="5B2C0607"/>
    <w:rsid w:val="5B3034F1"/>
    <w:rsid w:val="5B424CC5"/>
    <w:rsid w:val="5B4672E2"/>
    <w:rsid w:val="5B57504B"/>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D1281"/>
    <w:rsid w:val="63921C8F"/>
    <w:rsid w:val="63974B7F"/>
    <w:rsid w:val="639F7B81"/>
    <w:rsid w:val="63A252D2"/>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29477F"/>
    <w:rsid w:val="682F4FA9"/>
    <w:rsid w:val="68310698"/>
    <w:rsid w:val="68323C50"/>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423186"/>
    <w:rsid w:val="69432BE1"/>
    <w:rsid w:val="694D728A"/>
    <w:rsid w:val="69594684"/>
    <w:rsid w:val="6988057F"/>
    <w:rsid w:val="699906A2"/>
    <w:rsid w:val="69A973BA"/>
    <w:rsid w:val="69AC12C2"/>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456F6D"/>
    <w:rsid w:val="7A5F16CA"/>
    <w:rsid w:val="7A710D8E"/>
    <w:rsid w:val="7AAA2F92"/>
    <w:rsid w:val="7AB1300F"/>
    <w:rsid w:val="7AB64E52"/>
    <w:rsid w:val="7ADA0EA4"/>
    <w:rsid w:val="7AE75FBC"/>
    <w:rsid w:val="7AFC56D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A73F44"/>
    <w:rsid w:val="7FAD2052"/>
    <w:rsid w:val="7FB0411E"/>
    <w:rsid w:val="7FCA5021"/>
    <w:rsid w:val="7FEA3B6F"/>
    <w:rsid w:val="7FEE5147"/>
    <w:rsid w:val="7FF32CE5"/>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theme/theme1.xml" Type="http://schemas.openxmlformats.org/officeDocument/2006/relationships/theme"/><Relationship Id="rId2" Target="settings.xml" Type="http://schemas.openxmlformats.org/officeDocument/2006/relationships/settings"/><Relationship Id="rId20" Target="../customXml/item1.xml" Type="http://schemas.openxmlformats.org/officeDocument/2006/relationships/customXml"/><Relationship Id="rId21" Target="fontTable.xml" Type="http://schemas.openxmlformats.org/officeDocument/2006/relationships/fontTable"/><Relationship Id="rId22" Target="media/image1.jpeg" Type="http://schemas.openxmlformats.org/officeDocument/2006/relationships/image"/><Relationship Id="rId23"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2754</Words>
  <Characters>7511</Characters>
  <Paragraphs>501</Paragraphs>
  <TotalTime>0</TotalTime>
  <ScaleCrop>false</ScaleCrop>
  <LinksUpToDate>false</LinksUpToDate>
  <CharactersWithSpaces>7532</CharactersWithSpaces>
  <Application>WPS Office_11.1.0.11875_F1E327BC-269C-435d-A152-05C5408002CA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Tree Know</cp:lastModifiedBy>
  <dcterms:modified xsi:type="dcterms:W3CDTF">2022-07-29T09:20:09Z</dcterms:modified>
  <cp:revision>175</cp:revision>
  <dc:title>部门决算公开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2533214665424557B16CF4115249519F</vt:lpwstr>
  </property>
  <property fmtid="{D5CDD505-2E9C-101B-9397-08002B2CF9AE}" pid="5" name="KSOProductBuildVer">
    <vt:lpwstr>2052-11.1.0.11875</vt:lpwstr>
  </property>
  <property fmtid="{D5CDD505-2E9C-101B-9397-08002B2CF9AE}" pid="6" name="LastSaved">
    <vt:filetime>2021-04-15T00:00:00Z</vt:filetime>
  </property>
</Properties>
</file>