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关于印发《江苏省省级机关培训费管理办法》的通知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苏财行[2017]51号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省委各部委，省各委办厅局，省各直属单位：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       为进一步推进厉行节约反对浪费制度体系建设，加强和规范省级机关培训费管理，推进干部教育培训事业持续健康发展，根据《中央和国家机关培训费管理办法》（财行〔2016〕540号），我们对《江苏省省级机关培训费管理办法》（苏财行〔2014〕32号）进行了修订。现将修订后的《江苏省省级机关培训费管理办法》印发给你们，请认真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请各市、县参照本办法，结合本地实际情况，按照“充分保障、节俭适度”的原则抓紧制定本地党政机关培训费管理办法，并报省财政厅备案。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       附件：江苏省省级机关培训费管理办法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江苏省财政厅  中共江苏省委组织部  江苏省公务员局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2017年7月17日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bookmarkStart w:id="0" w:name="_GoBack"/>
      <w:bookmarkEnd w:id="0"/>
      <w:r>
        <w:rPr>
          <w:rFonts w:hint="eastAsia" w:ascii="微软雅黑" w:hAnsi="微软雅黑" w:eastAsia="微软雅黑" w:cs="微软雅黑"/>
          <w:i w:val="0"/>
          <w:iCs w:val="0"/>
          <w:caps w:val="0"/>
          <w:color w:val="646464"/>
          <w:spacing w:val="0"/>
          <w:sz w:val="21"/>
          <w:szCs w:val="21"/>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江苏省省级机关培训费管理办法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第一章总则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第一条为进一步加强和规范省级机关培训费管理，提高培训效率和质量，保障培训工作需要，根据《中央和国家机关培训费管理办法》（财行〔2016〕540号），结合我省实际，制定本办法。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第二条本办法适用于省级党政机关，人大机关，政协机关，审判机关，检察机关，工会、共青团、妇联等人民团体,各民主党派及工商联，参照公务员法管理的事业单位（以下简称省级单位）。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第三条本办法所称培训是指省级单位根据《中华人民共和国公务员法》、《干部教育培训工作条例》和其他有关法律法规，使用财政资金在境内举办的三个月以内的各类培训。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四条各省级单位应当坚持厉行节约、反对浪费的原则，严格控制培训费支出规模，进一步加强单位内部统一管理，增强培训计划的科学性、严肃性和培训项目的针对性、实效性，保证培训质量，节约培训资源，提高培训经费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第二章计划管理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五条建立培训计划编报和审批制度。各省级单位培训主管部门制订的本单位年度培训计划（包括培训名称、目的、对象、内容、时间、地点、参训人数、所需经费及列支渠道等），经单位财务部门审核后，报单位领导办公会议或党组（党委）会议批准后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第六条单位年度培训计划一经批准，原则上不得调整。因工作需要确需临时增加培训项目的，报单位主要负责同志审批。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第七条各省级单位年度培训计划于每年3月31日前同时报省委组织部、省公务员局、省财政厅备案。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第三章开支范围与标准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第八条 本办法所称培训费，是指各单位开展培训直接发生的各项费用支出，包括师资费、住宿费、伙食费、培训场地费、培训资料费、交通费以及其他费用。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（一）师资费是指聘请师资授课发生的费用，包括授课老师讲课费、住宿费、伙食费、城市间交通费等。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（二）住宿费是指参训人员及工作人员培训期间发生的租住房间的费用。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（三）伙食费是指参训人员及工作人员培训期间发生的用餐费用。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（四）培训场地费是指用于培训的会议室或教室租金。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（五）培训资料费是指培训期间必要的资料及办公用品费。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（六）交通费是指用于培训所需的人员接送以及与培训有关的考察、调研等发生的交通支出。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（七）其他费用是指用于现场教学费、设备租赁费、文体活动费、医药费等与培训有关的其他支出。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参训人员参加培训往返及异地教学发生的城市间交通费，按照省级机关差旅费有关规定回单位报销。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第九条除师资费外，培训费实行分类综合定额标准，分项核定、总额控制，各项费用之间可以调剂使用。综合定额标准如下：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单位：元/人天</w:t>
      </w:r>
    </w:p>
    <w:tbl>
      <w:tblPr>
        <w:tblW w:w="10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68"/>
        <w:gridCol w:w="1434"/>
        <w:gridCol w:w="1259"/>
        <w:gridCol w:w="2837"/>
        <w:gridCol w:w="1604"/>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231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培训类别</w:t>
            </w:r>
          </w:p>
        </w:tc>
        <w:tc>
          <w:tcPr>
            <w:tcW w:w="2265"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住宿费</w:t>
            </w:r>
          </w:p>
        </w:tc>
        <w:tc>
          <w:tcPr>
            <w:tcW w:w="1950"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伙食费</w:t>
            </w:r>
          </w:p>
        </w:tc>
        <w:tc>
          <w:tcPr>
            <w:tcW w:w="4755"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场地、资料、交通费</w:t>
            </w:r>
          </w:p>
        </w:tc>
        <w:tc>
          <w:tcPr>
            <w:tcW w:w="2670"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其他费用</w:t>
            </w:r>
          </w:p>
        </w:tc>
        <w:tc>
          <w:tcPr>
            <w:tcW w:w="2235"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31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一类培训</w:t>
            </w:r>
          </w:p>
        </w:tc>
        <w:tc>
          <w:tcPr>
            <w:tcW w:w="2265"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500</w:t>
            </w:r>
          </w:p>
        </w:tc>
        <w:tc>
          <w:tcPr>
            <w:tcW w:w="1950"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150</w:t>
            </w:r>
          </w:p>
        </w:tc>
        <w:tc>
          <w:tcPr>
            <w:tcW w:w="4755"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80</w:t>
            </w:r>
          </w:p>
        </w:tc>
        <w:tc>
          <w:tcPr>
            <w:tcW w:w="2670"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30</w:t>
            </w:r>
          </w:p>
        </w:tc>
        <w:tc>
          <w:tcPr>
            <w:tcW w:w="2235"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31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二类培训</w:t>
            </w:r>
          </w:p>
        </w:tc>
        <w:tc>
          <w:tcPr>
            <w:tcW w:w="2265"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400</w:t>
            </w:r>
          </w:p>
        </w:tc>
        <w:tc>
          <w:tcPr>
            <w:tcW w:w="1950"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150</w:t>
            </w:r>
          </w:p>
        </w:tc>
        <w:tc>
          <w:tcPr>
            <w:tcW w:w="4755"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70</w:t>
            </w:r>
          </w:p>
        </w:tc>
        <w:tc>
          <w:tcPr>
            <w:tcW w:w="2670"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30</w:t>
            </w:r>
          </w:p>
        </w:tc>
        <w:tc>
          <w:tcPr>
            <w:tcW w:w="2235"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31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三类培训</w:t>
            </w:r>
          </w:p>
        </w:tc>
        <w:tc>
          <w:tcPr>
            <w:tcW w:w="2265"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340</w:t>
            </w:r>
          </w:p>
        </w:tc>
        <w:tc>
          <w:tcPr>
            <w:tcW w:w="1950"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130</w:t>
            </w:r>
          </w:p>
        </w:tc>
        <w:tc>
          <w:tcPr>
            <w:tcW w:w="4755"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50</w:t>
            </w:r>
          </w:p>
        </w:tc>
        <w:tc>
          <w:tcPr>
            <w:tcW w:w="2670"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30</w:t>
            </w:r>
          </w:p>
        </w:tc>
        <w:tc>
          <w:tcPr>
            <w:tcW w:w="2235" w:type="dxa"/>
            <w:tcBorders>
              <w:top w:val="nil"/>
              <w:left w:val="nil"/>
              <w:bottom w:val="nil"/>
              <w:right w:val="nil"/>
            </w:tcBorders>
            <w:shd w:val="clear" w:color="auto" w:fill="FFFFFF"/>
            <w:tcMar>
              <w:top w:w="15" w:type="dxa"/>
              <w:left w:w="15"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微软雅黑" w:hAnsi="微软雅黑" w:eastAsia="微软雅黑" w:cs="微软雅黑"/>
                <w:b w:val="0"/>
                <w:bCs w:val="0"/>
                <w:i w:val="0"/>
                <w:iCs w:val="0"/>
                <w:caps w:val="0"/>
                <w:color w:val="646464"/>
                <w:spacing w:val="0"/>
                <w:sz w:val="21"/>
                <w:szCs w:val="21"/>
                <w:bdr w:val="none" w:color="auto" w:sz="0" w:space="0"/>
              </w:rPr>
              <w:t>550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一类培训是指参训人员主要为省部级及相应人员的培训项目。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二类培训是指参训人员主要为厅局级人员的培训项目。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三类培训是指参训人员主要为处级及以下人员的培训项目。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以其他人员为主的培训项目参照上述标准分类执行。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综合定额标准是相关费用开支的上限。各单位应在综合定额标准以内结算报销。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30天以内的（含30天）培训按照综合定额标准控制；超过30天的培训，超过天数按照综合定额标准的70%控制。上述天数含报到撤离时间，报到和撤离时间分别不得超过1天。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第十条师资费在综合定额标准外单独核算。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（一）讲课费（税后）执行以下标准：副高级技术职称及以下专业人员每学时最高不超过500元，正高级技术职称专业人员每学时最高不超过1000元，院士、全国知名专家每学时一般不超过1500元。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讲课费按实际发生的学时计算，每半天最多按4学时计算。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其他人员讲课费参照上述标准执行。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同时为多班次一并授课的，不重复计算讲课费。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（二）授课老师的城市间交通费按照省级机关差旅费有关规定和标准执行，住宿费、伙食费按照本办法标准执行，原则上由培训举办单位承担。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（三）培训工作确有需要从异地（含境外）邀请授课老师的，路途时间较长的，经单位主要负责同志书面批准，讲课费可以适当增加。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第四章培训组织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第十一条培训实行分级管理，各省级单位举办培训，原则上不得下延至县以下。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十二条各单位在不影响培训任务完成的前提下，应当在开支范围和标准内优先选择党校、行政学院、社会主义学院、干部学院以及组织人事部门认可的其他培训机构承办。选择高校培训机构的，应优先选择省内高校。单位内部具备培训条件的，应当充分利用内部培训场所举办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第十三条组织培训的工作人员控制在参训人员数量的10%以内，最多不超过10人。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十四条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培训住宿不得安排高档套房，不得额外配发洗漱用品；培训用餐不得上高档菜肴，不得提供烟酒；除必要的现场教学外，7日以内的培训不得组织调研、考察、参观。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第十五条邀请境外师资讲课，须严格按照有关外事管理规定，履行审批手续。境内师资能够满足培训需要的，不得邀请境外师资。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十六条培训举办单位应当注重教学设计和质量评估，通过需求调研、课程设计和开发、专家论证、评估反馈等环节，推进培训工作科学化、精准化；注重运用大数据、“互联网+”等现代信息技术手段开展培训和管理。所需费用纳入部门预算予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第五章报销结算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十七条举办单位在培训结束后应当及时办理报销手续。报销培训费，综合定额范围内的，应当提供培训计划审批文件、培训通知、实际参训人员签到表以及培训机构出具的收款票据、费用明细等凭证；师资费范围内的，应当提供讲课费签收单或合同，异地授课的城市间交通费、住宿费、伙食费按照差旅费报销办法提供相关凭据；执行中经单位主要负责同志批准临时增加的培训项目，还应提供单位主要负责同志审批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各单位财务部门应当严格按照规定审核培训费开支，对未履行审批程序的培训以及超范围、超标准开支的费用不予报销。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第十八条培训费的资金支付应当执行江苏省省级国库集中支付和省级预算单位公务卡使用有关制度规定。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第十九条培训费由培训举办单位承担，不得向参训人员收取任何费用，不得以任何方式转嫁或摊派培训费用。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第六章监督检查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第二十条各省级单位应当将非涉密培训的项目、内容、人数、经费等情况，以适当的方式公开。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二十一条各省级单位应当于每年3月31日前将上年度培训计划执行情况（包括培训名称、对象、内容、时间、地点、参训人数、工作人员数、经费开支及列支渠道、培训成效、问题建议等）报送省委组织部、省公务员局、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第二十二条省委组织部、省公务员局、省财政厅等有关部门对各省级单位培训活动和培训费管理使用情况进行监督检查。主要内容包括：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（一）培训计划的编报是否符合规定；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（二）临时增加培训计划是否报单位主要负责同志审批；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（三）培训费开支范围和开支标准是否符合规定；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（四）培训费报销和支付是否符合规定；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（五）是否存在虚报培训费用的行为；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（六）是否存在转嫁、摊派培训费用的行为；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（七）是否存在向参训人员收费的行为；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（八）是否存在奢侈浪费现象；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（九）是否存在其他违反本办法的行为。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二十三条对于检查中发现的违反本办法的行为，由省委组织部、省公务员局、省财政厅等有关部门责令改正，追回资金，并予以通报。对相关责任人员，按规定予以党纪政纪处分；涉嫌违法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第七章附则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第二十四条各省级单位可以按照本办法，结合本单位业务特点和工作实际，制定培训费管理具体规定。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第二十五条省委组织部、省公务员局组织的调训和统一培训，有关部门组织的援外培训，不适用本办法，按有关规定执行。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第二十六条不参照公务员法管理的事业单位参照本办法执行。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第二十七条本办法由省财政厅会同省委组织部、省公务员局负责解释。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646464"/>
          <w:spacing w:val="0"/>
          <w:sz w:val="21"/>
          <w:szCs w:val="21"/>
        </w:rPr>
      </w:pPr>
      <w:r>
        <w:rPr>
          <w:rFonts w:hint="eastAsia" w:ascii="微软雅黑" w:hAnsi="微软雅黑" w:eastAsia="微软雅黑" w:cs="微软雅黑"/>
          <w:i w:val="0"/>
          <w:iCs w:val="0"/>
          <w:caps w:val="0"/>
          <w:color w:val="646464"/>
          <w:spacing w:val="0"/>
          <w:sz w:val="21"/>
          <w:szCs w:val="21"/>
          <w:bdr w:val="none" w:color="auto" w:sz="0" w:space="0"/>
          <w:shd w:val="clear" w:fill="FFFFFF"/>
        </w:rPr>
        <w:t>第二十八条本办法自发布之日起施行。《江苏省省级机关培训费管理办法》（苏财行〔2014〕32号）同时废止。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DC6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WXJXTH</dc:creator>
  <cp:lastModifiedBy>斩风1989</cp:lastModifiedBy>
  <dcterms:modified xsi:type="dcterms:W3CDTF">2021-05-27T01:10:47Z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21FEFA0FFC664DDC99C46F6066EEC044</vt:lpwstr>
  </property>
</Properties>
</file>